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13E7113" w:rsidR="00053842" w:rsidRDefault="00CC2250">
      <w:pPr>
        <w:spacing w:before="240" w:after="160" w:line="259" w:lineRule="auto"/>
        <w:jc w:val="both"/>
        <w:rPr>
          <w:rFonts w:ascii="Quicksand" w:eastAsia="Quicksand" w:hAnsi="Quicksand" w:cs="Quicksand"/>
          <w:color w:val="ED7D31"/>
          <w:sz w:val="72"/>
          <w:szCs w:val="72"/>
        </w:rPr>
      </w:pPr>
      <w:r>
        <w:rPr>
          <w:rFonts w:ascii="Quicksand" w:eastAsia="Quicksand" w:hAnsi="Quicksand" w:cs="Quicksand"/>
          <w:i/>
        </w:rPr>
        <w:t xml:space="preserve">Origen: Informe Final F. Éxito </w:t>
      </w:r>
      <w:r>
        <w:rPr>
          <w:rFonts w:ascii="Quicksand" w:eastAsia="Quicksand" w:hAnsi="Quicksand" w:cs="Quicksand"/>
          <w:i/>
        </w:rPr>
        <w:t xml:space="preserve">_ </w:t>
      </w:r>
      <w:r>
        <w:rPr>
          <w:rFonts w:ascii="Quicksand" w:eastAsia="Quicksand" w:hAnsi="Quicksand" w:cs="Quicksand"/>
          <w:i/>
        </w:rPr>
        <w:t>Vaupé</w:t>
      </w:r>
      <w:r>
        <w:rPr>
          <w:rFonts w:ascii="Quicksand" w:eastAsia="Quicksand" w:hAnsi="Quicksand" w:cs="Quicksand"/>
          <w:i/>
        </w:rPr>
        <w:t>s Salud</w:t>
      </w:r>
    </w:p>
    <w:p w14:paraId="00000002" w14:textId="77777777" w:rsidR="00053842" w:rsidRDefault="00CC2250">
      <w:pPr>
        <w:pStyle w:val="Ttulo2"/>
        <w:spacing w:before="40" w:after="0" w:line="259" w:lineRule="auto"/>
        <w:rPr>
          <w:rFonts w:ascii="Quicksand" w:eastAsia="Quicksand" w:hAnsi="Quicksand" w:cs="Quicksand"/>
          <w:color w:val="ED7D31"/>
          <w:sz w:val="72"/>
          <w:szCs w:val="72"/>
        </w:rPr>
      </w:pPr>
      <w:bookmarkStart w:id="0" w:name="_hi4v16yxyn3x" w:colFirst="0" w:colLast="0"/>
      <w:bookmarkEnd w:id="0"/>
      <w:r>
        <w:rPr>
          <w:rFonts w:ascii="Quicksand" w:eastAsia="Quicksand" w:hAnsi="Quicksand" w:cs="Quicksand"/>
          <w:color w:val="ED7D31"/>
          <w:sz w:val="72"/>
          <w:szCs w:val="72"/>
        </w:rPr>
        <w:t xml:space="preserve">Componente familiar y comunitario </w:t>
      </w:r>
    </w:p>
    <w:p w14:paraId="00000003" w14:textId="77777777" w:rsidR="00053842" w:rsidRDefault="00053842">
      <w:pPr>
        <w:pStyle w:val="Ttulo3"/>
        <w:spacing w:before="40" w:after="0" w:line="240" w:lineRule="auto"/>
        <w:rPr>
          <w:rFonts w:ascii="Quicksand" w:eastAsia="Quicksand" w:hAnsi="Quicksand" w:cs="Quicksand"/>
          <w:b/>
          <w:color w:val="1E4D78"/>
          <w:sz w:val="24"/>
          <w:szCs w:val="24"/>
        </w:rPr>
      </w:pPr>
    </w:p>
    <w:p w14:paraId="00000004" w14:textId="77777777" w:rsidR="00053842" w:rsidRDefault="00053842">
      <w:pPr>
        <w:pStyle w:val="Ttulo3"/>
        <w:spacing w:before="40" w:after="0" w:line="240" w:lineRule="auto"/>
        <w:rPr>
          <w:rFonts w:ascii="Quicksand" w:eastAsia="Quicksand" w:hAnsi="Quicksand" w:cs="Quicksand"/>
          <w:b/>
          <w:color w:val="1E4D78"/>
          <w:sz w:val="24"/>
          <w:szCs w:val="24"/>
        </w:rPr>
      </w:pPr>
    </w:p>
    <w:p w14:paraId="00000005" w14:textId="77777777" w:rsidR="00053842" w:rsidRDefault="00CC2250">
      <w:pPr>
        <w:pStyle w:val="Ttulo3"/>
        <w:numPr>
          <w:ilvl w:val="1"/>
          <w:numId w:val="1"/>
        </w:numPr>
        <w:spacing w:before="40" w:after="0" w:line="259" w:lineRule="auto"/>
        <w:rPr>
          <w:rFonts w:ascii="Quicksand" w:eastAsia="Quicksand" w:hAnsi="Quicksand" w:cs="Quicksand"/>
          <w:color w:val="843C0B"/>
        </w:rPr>
      </w:pPr>
      <w:bookmarkStart w:id="1" w:name="_z337ya" w:colFirst="0" w:colLast="0"/>
      <w:bookmarkEnd w:id="1"/>
      <w:r>
        <w:rPr>
          <w:rFonts w:ascii="Quicksand" w:eastAsia="Quicksand" w:hAnsi="Quicksand" w:cs="Quicksand"/>
          <w:color w:val="843C0B"/>
        </w:rPr>
        <w:t>Visitas domiciliarias</w:t>
      </w:r>
    </w:p>
    <w:p w14:paraId="00000006" w14:textId="77777777" w:rsidR="00053842" w:rsidRDefault="00CC2250">
      <w:pPr>
        <w:spacing w:before="240" w:after="160" w:line="259" w:lineRule="auto"/>
        <w:jc w:val="both"/>
        <w:rPr>
          <w:rFonts w:ascii="Quicksand" w:eastAsia="Quicksand" w:hAnsi="Quicksand" w:cs="Quicksand"/>
          <w:i/>
        </w:rPr>
      </w:pPr>
      <w:r>
        <w:rPr>
          <w:rFonts w:ascii="Quicksand" w:eastAsia="Quicksand" w:hAnsi="Quicksand" w:cs="Quicksand"/>
          <w:i/>
        </w:rPr>
        <w:t xml:space="preserve">Resultados comparativos línea de base vs. seguimiento </w:t>
      </w:r>
    </w:p>
    <w:p w14:paraId="00000007" w14:textId="77777777" w:rsidR="00053842" w:rsidRDefault="00CC2250">
      <w:pPr>
        <w:spacing w:after="160" w:line="259" w:lineRule="auto"/>
        <w:jc w:val="both"/>
        <w:rPr>
          <w:rFonts w:ascii="Quicksand" w:eastAsia="Quicksand" w:hAnsi="Quicksand" w:cs="Quicksand"/>
        </w:rPr>
      </w:pPr>
      <w:r>
        <w:rPr>
          <w:rFonts w:ascii="Quicksand" w:eastAsia="Quicksand" w:hAnsi="Quicksand" w:cs="Quicksand"/>
        </w:rPr>
        <w:t>Al inicio del proyecto, en el censo de la población se identificaron 492 familias; sin embargo, al momento de realizar las visitas domiciliarias para la caracterización de la familia, se encontró que no todas las familias censadas vivían permanentemente en</w:t>
      </w:r>
      <w:r>
        <w:rPr>
          <w:rFonts w:ascii="Quicksand" w:eastAsia="Quicksand" w:hAnsi="Quicksand" w:cs="Quicksand"/>
        </w:rPr>
        <w:t xml:space="preserve"> la comunidad; razón por la cual se determinó la necesidad de desagregar la información si la familia residía de manera permanente en la comunidad, si se trataba de ausencias temporales (como mínimo permanecen un mes cada 3 meses), o de ausencias definitiv</w:t>
      </w:r>
      <w:r>
        <w:rPr>
          <w:rFonts w:ascii="Quicksand" w:eastAsia="Quicksand" w:hAnsi="Quicksand" w:cs="Quicksand"/>
        </w:rPr>
        <w:t>as (más de 3 meses). Esto, con el fin de tener mayor claridad sobre las coberturas de las acciones realizadas.</w:t>
      </w:r>
    </w:p>
    <w:p w14:paraId="00000008" w14:textId="77777777" w:rsidR="00053842" w:rsidRDefault="00CC2250">
      <w:pPr>
        <w:spacing w:after="160" w:line="259" w:lineRule="auto"/>
        <w:jc w:val="both"/>
        <w:rPr>
          <w:rFonts w:ascii="Quicksand" w:eastAsia="Quicksand" w:hAnsi="Quicksand" w:cs="Quicksand"/>
        </w:rPr>
      </w:pPr>
      <w:r>
        <w:rPr>
          <w:rFonts w:ascii="Quicksand" w:eastAsia="Quicksand" w:hAnsi="Quicksand" w:cs="Quicksand"/>
        </w:rPr>
        <w:t>La tabla 2 muestra el número de familias ausentes definitivas y ausentes temporales por cada una de las comunidades con corte a agosto 31 de 2018</w:t>
      </w:r>
      <w:r>
        <w:rPr>
          <w:rFonts w:ascii="Quicksand" w:eastAsia="Quicksand" w:hAnsi="Quicksand" w:cs="Quicksand"/>
        </w:rPr>
        <w:t xml:space="preserve">. Como se evidencia en la tabla, en el último año ha habido una migración importante de familias en la zona, especialmente en comunidades como Puerto López, donde 11 familias ya no habitan en la comunidad. </w:t>
      </w:r>
    </w:p>
    <w:p w14:paraId="00000009" w14:textId="77777777" w:rsidR="00053842" w:rsidRDefault="00CC2250">
      <w:pPr>
        <w:keepNext/>
        <w:jc w:val="center"/>
        <w:rPr>
          <w:rFonts w:ascii="Quicksand" w:eastAsia="Quicksand" w:hAnsi="Quicksand" w:cs="Quicksand"/>
          <w:b/>
          <w:color w:val="7F7F7F"/>
          <w:sz w:val="20"/>
          <w:szCs w:val="20"/>
        </w:rPr>
      </w:pPr>
      <w:r>
        <w:rPr>
          <w:rFonts w:ascii="Quicksand" w:eastAsia="Quicksand" w:hAnsi="Quicksand" w:cs="Quicksand"/>
          <w:b/>
          <w:color w:val="7F7F7F"/>
          <w:sz w:val="20"/>
          <w:szCs w:val="20"/>
        </w:rPr>
        <w:t xml:space="preserve">Tabla 2: Número de familias ausentes permanentes </w:t>
      </w:r>
      <w:r>
        <w:rPr>
          <w:rFonts w:ascii="Quicksand" w:eastAsia="Quicksand" w:hAnsi="Quicksand" w:cs="Quicksand"/>
          <w:b/>
          <w:color w:val="7F7F7F"/>
          <w:sz w:val="20"/>
          <w:szCs w:val="20"/>
        </w:rPr>
        <w:t>y temporales por comunidad.</w:t>
      </w:r>
    </w:p>
    <w:tbl>
      <w:tblPr>
        <w:tblStyle w:val="a"/>
        <w:tblW w:w="7444" w:type="dxa"/>
        <w:jc w:val="center"/>
        <w:tblInd w:w="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320"/>
        <w:gridCol w:w="1218"/>
        <w:gridCol w:w="1380"/>
        <w:gridCol w:w="1368"/>
        <w:gridCol w:w="1158"/>
      </w:tblGrid>
      <w:tr w:rsidR="00053842" w14:paraId="6B926FFA" w14:textId="77777777" w:rsidTr="00053842">
        <w:trPr>
          <w:cnfStyle w:val="100000000000" w:firstRow="1" w:lastRow="0" w:firstColumn="0" w:lastColumn="0" w:oddVBand="0" w:evenVBand="0" w:oddHBand="0" w:evenHBand="0" w:firstRowFirstColumn="0" w:firstRowLastColumn="0" w:lastRowFirstColumn="0" w:lastRowLastColumn="0"/>
          <w:trHeight w:val="795"/>
          <w:jc w:val="center"/>
        </w:trPr>
        <w:tc>
          <w:tcPr>
            <w:cnfStyle w:val="001000000100" w:firstRow="0" w:lastRow="0" w:firstColumn="1" w:lastColumn="0" w:oddVBand="0" w:evenVBand="0" w:oddHBand="0" w:evenHBand="0" w:firstRowFirstColumn="1" w:firstRowLastColumn="0" w:lastRowFirstColumn="0" w:lastRowLastColumn="0"/>
            <w:tcW w:w="2320" w:type="dxa"/>
            <w:vAlign w:val="center"/>
          </w:tcPr>
          <w:p w14:paraId="0000000A" w14:textId="77777777" w:rsidR="00053842" w:rsidRDefault="00CC2250">
            <w:pPr>
              <w:jc w:val="center"/>
              <w:rPr>
                <w:rFonts w:ascii="Quicksand" w:eastAsia="Quicksand" w:hAnsi="Quicksand" w:cs="Quicksand"/>
                <w:sz w:val="18"/>
                <w:szCs w:val="18"/>
              </w:rPr>
            </w:pPr>
            <w:r>
              <w:rPr>
                <w:rFonts w:ascii="Quicksand" w:eastAsia="Quicksand" w:hAnsi="Quicksand" w:cs="Quicksand"/>
                <w:b w:val="0"/>
                <w:sz w:val="18"/>
                <w:szCs w:val="18"/>
              </w:rPr>
              <w:t>Comunidad</w:t>
            </w:r>
          </w:p>
        </w:tc>
        <w:tc>
          <w:tcPr>
            <w:tcW w:w="1218" w:type="dxa"/>
            <w:vAlign w:val="center"/>
          </w:tcPr>
          <w:p w14:paraId="0000000B" w14:textId="77777777" w:rsidR="00053842" w:rsidRDefault="00CC2250">
            <w:pPr>
              <w:jc w:val="center"/>
              <w:cnfStyle w:val="100000000000" w:firstRow="1"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b w:val="0"/>
                <w:sz w:val="18"/>
                <w:szCs w:val="18"/>
              </w:rPr>
              <w:t>Familias censadas en 2017</w:t>
            </w:r>
          </w:p>
        </w:tc>
        <w:tc>
          <w:tcPr>
            <w:tcW w:w="1380" w:type="dxa"/>
            <w:vAlign w:val="center"/>
          </w:tcPr>
          <w:p w14:paraId="0000000C" w14:textId="77777777" w:rsidR="00053842" w:rsidRDefault="00CC2250">
            <w:pPr>
              <w:jc w:val="center"/>
              <w:cnfStyle w:val="100000000000" w:firstRow="1"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b w:val="0"/>
                <w:sz w:val="18"/>
                <w:szCs w:val="18"/>
              </w:rPr>
              <w:t>Familias ausentes definitivamente</w:t>
            </w:r>
          </w:p>
        </w:tc>
        <w:tc>
          <w:tcPr>
            <w:tcW w:w="1368" w:type="dxa"/>
            <w:vAlign w:val="center"/>
          </w:tcPr>
          <w:p w14:paraId="0000000D" w14:textId="77777777" w:rsidR="00053842" w:rsidRDefault="00CC2250">
            <w:pPr>
              <w:jc w:val="center"/>
              <w:cnfStyle w:val="100000000000" w:firstRow="1"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b w:val="0"/>
                <w:sz w:val="18"/>
                <w:szCs w:val="18"/>
              </w:rPr>
              <w:t>Familias ausentes temporalmente</w:t>
            </w:r>
          </w:p>
        </w:tc>
        <w:tc>
          <w:tcPr>
            <w:tcW w:w="1158" w:type="dxa"/>
            <w:vAlign w:val="center"/>
          </w:tcPr>
          <w:p w14:paraId="0000000E" w14:textId="2B68E5B3" w:rsidR="00053842" w:rsidRDefault="00CC2250">
            <w:pPr>
              <w:jc w:val="center"/>
              <w:cnfStyle w:val="100000000000" w:firstRow="1"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b w:val="0"/>
                <w:sz w:val="18"/>
                <w:szCs w:val="18"/>
              </w:rPr>
              <w:t>Total familias</w:t>
            </w:r>
            <w:r>
              <w:rPr>
                <w:rFonts w:ascii="Quicksand" w:eastAsia="Quicksand" w:hAnsi="Quicksand" w:cs="Quicksand"/>
                <w:b w:val="0"/>
                <w:sz w:val="18"/>
                <w:szCs w:val="18"/>
              </w:rPr>
              <w:t xml:space="preserve"> ausentes a agosto 2018</w:t>
            </w:r>
          </w:p>
        </w:tc>
      </w:tr>
      <w:tr w:rsidR="00053842" w14:paraId="6BDEB93D" w14:textId="77777777" w:rsidTr="0005384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20" w:type="dxa"/>
          </w:tcPr>
          <w:p w14:paraId="0000000F" w14:textId="77777777" w:rsidR="00053842" w:rsidRDefault="00CC2250">
            <w:pPr>
              <w:jc w:val="both"/>
              <w:rPr>
                <w:rFonts w:ascii="Quicksand" w:eastAsia="Quicksand" w:hAnsi="Quicksand" w:cs="Quicksand"/>
                <w:sz w:val="18"/>
                <w:szCs w:val="18"/>
              </w:rPr>
            </w:pPr>
            <w:r>
              <w:rPr>
                <w:rFonts w:ascii="Quicksand" w:eastAsia="Quicksand" w:hAnsi="Quicksand" w:cs="Quicksand"/>
                <w:b w:val="0"/>
                <w:sz w:val="18"/>
                <w:szCs w:val="18"/>
              </w:rPr>
              <w:t>Bogotá Cachivera</w:t>
            </w:r>
          </w:p>
        </w:tc>
        <w:tc>
          <w:tcPr>
            <w:tcW w:w="1218" w:type="dxa"/>
          </w:tcPr>
          <w:p w14:paraId="00000010"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19</w:t>
            </w:r>
          </w:p>
        </w:tc>
        <w:tc>
          <w:tcPr>
            <w:tcW w:w="1380" w:type="dxa"/>
          </w:tcPr>
          <w:p w14:paraId="00000011"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w:t>
            </w:r>
          </w:p>
        </w:tc>
        <w:tc>
          <w:tcPr>
            <w:tcW w:w="1368" w:type="dxa"/>
          </w:tcPr>
          <w:p w14:paraId="00000012"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w:t>
            </w:r>
          </w:p>
        </w:tc>
        <w:tc>
          <w:tcPr>
            <w:tcW w:w="1158" w:type="dxa"/>
          </w:tcPr>
          <w:p w14:paraId="00000013"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w:t>
            </w:r>
          </w:p>
        </w:tc>
      </w:tr>
      <w:tr w:rsidR="00053842" w14:paraId="5A7536E5" w14:textId="77777777" w:rsidTr="00053842">
        <w:trPr>
          <w:trHeight w:val="255"/>
          <w:jc w:val="center"/>
        </w:trPr>
        <w:tc>
          <w:tcPr>
            <w:cnfStyle w:val="001000000000" w:firstRow="0" w:lastRow="0" w:firstColumn="1" w:lastColumn="0" w:oddVBand="0" w:evenVBand="0" w:oddHBand="0" w:evenHBand="0" w:firstRowFirstColumn="0" w:firstRowLastColumn="0" w:lastRowFirstColumn="0" w:lastRowLastColumn="0"/>
            <w:tcW w:w="2320" w:type="dxa"/>
          </w:tcPr>
          <w:p w14:paraId="00000014" w14:textId="77777777" w:rsidR="00053842" w:rsidRDefault="00CC2250">
            <w:pPr>
              <w:jc w:val="both"/>
              <w:rPr>
                <w:rFonts w:ascii="Quicksand" w:eastAsia="Quicksand" w:hAnsi="Quicksand" w:cs="Quicksand"/>
                <w:sz w:val="18"/>
                <w:szCs w:val="18"/>
              </w:rPr>
            </w:pPr>
            <w:r>
              <w:rPr>
                <w:rFonts w:ascii="Quicksand" w:eastAsia="Quicksand" w:hAnsi="Quicksand" w:cs="Quicksand"/>
                <w:b w:val="0"/>
                <w:sz w:val="18"/>
                <w:szCs w:val="18"/>
              </w:rPr>
              <w:t>Timbó de Betania</w:t>
            </w:r>
          </w:p>
        </w:tc>
        <w:tc>
          <w:tcPr>
            <w:tcW w:w="1218" w:type="dxa"/>
          </w:tcPr>
          <w:p w14:paraId="00000015"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20</w:t>
            </w:r>
          </w:p>
        </w:tc>
        <w:tc>
          <w:tcPr>
            <w:tcW w:w="1380" w:type="dxa"/>
          </w:tcPr>
          <w:p w14:paraId="00000016"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2</w:t>
            </w:r>
          </w:p>
        </w:tc>
        <w:tc>
          <w:tcPr>
            <w:tcW w:w="1368" w:type="dxa"/>
          </w:tcPr>
          <w:p w14:paraId="00000017"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2</w:t>
            </w:r>
          </w:p>
        </w:tc>
        <w:tc>
          <w:tcPr>
            <w:tcW w:w="1158" w:type="dxa"/>
          </w:tcPr>
          <w:p w14:paraId="00000018"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4</w:t>
            </w:r>
          </w:p>
        </w:tc>
      </w:tr>
      <w:tr w:rsidR="00053842" w14:paraId="5DC7D205" w14:textId="77777777" w:rsidTr="0005384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20" w:type="dxa"/>
          </w:tcPr>
          <w:p w14:paraId="00000019" w14:textId="77777777" w:rsidR="00053842" w:rsidRDefault="00CC2250">
            <w:pPr>
              <w:jc w:val="both"/>
              <w:rPr>
                <w:rFonts w:ascii="Quicksand" w:eastAsia="Quicksand" w:hAnsi="Quicksand" w:cs="Quicksand"/>
                <w:sz w:val="18"/>
                <w:szCs w:val="18"/>
              </w:rPr>
            </w:pPr>
            <w:r>
              <w:rPr>
                <w:rFonts w:ascii="Quicksand" w:eastAsia="Quicksand" w:hAnsi="Quicksand" w:cs="Quicksand"/>
                <w:b w:val="0"/>
                <w:sz w:val="18"/>
                <w:szCs w:val="18"/>
              </w:rPr>
              <w:t>Murutinga</w:t>
            </w:r>
          </w:p>
        </w:tc>
        <w:tc>
          <w:tcPr>
            <w:tcW w:w="1218" w:type="dxa"/>
          </w:tcPr>
          <w:p w14:paraId="0000001A"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34</w:t>
            </w:r>
          </w:p>
        </w:tc>
        <w:tc>
          <w:tcPr>
            <w:tcW w:w="1380" w:type="dxa"/>
          </w:tcPr>
          <w:p w14:paraId="0000001B"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w:t>
            </w:r>
          </w:p>
        </w:tc>
        <w:tc>
          <w:tcPr>
            <w:tcW w:w="1368" w:type="dxa"/>
          </w:tcPr>
          <w:p w14:paraId="0000001C"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2</w:t>
            </w:r>
          </w:p>
        </w:tc>
        <w:tc>
          <w:tcPr>
            <w:tcW w:w="1158" w:type="dxa"/>
          </w:tcPr>
          <w:p w14:paraId="0000001D"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3</w:t>
            </w:r>
          </w:p>
        </w:tc>
      </w:tr>
      <w:tr w:rsidR="00053842" w14:paraId="55D0FA0F" w14:textId="77777777" w:rsidTr="00053842">
        <w:trPr>
          <w:trHeight w:val="270"/>
          <w:jc w:val="center"/>
        </w:trPr>
        <w:tc>
          <w:tcPr>
            <w:cnfStyle w:val="001000000000" w:firstRow="0" w:lastRow="0" w:firstColumn="1" w:lastColumn="0" w:oddVBand="0" w:evenVBand="0" w:oddHBand="0" w:evenHBand="0" w:firstRowFirstColumn="0" w:firstRowLastColumn="0" w:lastRowFirstColumn="0" w:lastRowLastColumn="0"/>
            <w:tcW w:w="2320" w:type="dxa"/>
          </w:tcPr>
          <w:p w14:paraId="0000001E" w14:textId="77777777" w:rsidR="00053842" w:rsidRDefault="00CC2250">
            <w:pPr>
              <w:jc w:val="both"/>
              <w:rPr>
                <w:rFonts w:ascii="Quicksand" w:eastAsia="Quicksand" w:hAnsi="Quicksand" w:cs="Quicksand"/>
                <w:sz w:val="18"/>
                <w:szCs w:val="18"/>
              </w:rPr>
            </w:pPr>
            <w:r>
              <w:rPr>
                <w:rFonts w:ascii="Quicksand" w:eastAsia="Quicksand" w:hAnsi="Quicksand" w:cs="Quicksand"/>
                <w:b w:val="0"/>
                <w:sz w:val="18"/>
                <w:szCs w:val="18"/>
              </w:rPr>
              <w:t>Tucandira</w:t>
            </w:r>
          </w:p>
        </w:tc>
        <w:tc>
          <w:tcPr>
            <w:tcW w:w="1218" w:type="dxa"/>
          </w:tcPr>
          <w:p w14:paraId="0000001F"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15</w:t>
            </w:r>
          </w:p>
        </w:tc>
        <w:tc>
          <w:tcPr>
            <w:tcW w:w="1380" w:type="dxa"/>
          </w:tcPr>
          <w:p w14:paraId="00000020"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w:t>
            </w:r>
          </w:p>
        </w:tc>
        <w:tc>
          <w:tcPr>
            <w:tcW w:w="1368" w:type="dxa"/>
          </w:tcPr>
          <w:p w14:paraId="00000021"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3</w:t>
            </w:r>
          </w:p>
        </w:tc>
        <w:tc>
          <w:tcPr>
            <w:tcW w:w="1158" w:type="dxa"/>
          </w:tcPr>
          <w:p w14:paraId="00000022"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3</w:t>
            </w:r>
          </w:p>
        </w:tc>
      </w:tr>
      <w:tr w:rsidR="00053842" w14:paraId="4D15EF09" w14:textId="77777777" w:rsidTr="0005384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20" w:type="dxa"/>
          </w:tcPr>
          <w:p w14:paraId="00000023" w14:textId="77777777" w:rsidR="00053842" w:rsidRDefault="00CC2250">
            <w:pPr>
              <w:jc w:val="both"/>
              <w:rPr>
                <w:rFonts w:ascii="Quicksand" w:eastAsia="Quicksand" w:hAnsi="Quicksand" w:cs="Quicksand"/>
                <w:sz w:val="18"/>
                <w:szCs w:val="18"/>
              </w:rPr>
            </w:pPr>
            <w:r>
              <w:rPr>
                <w:rFonts w:ascii="Quicksand" w:eastAsia="Quicksand" w:hAnsi="Quicksand" w:cs="Quicksand"/>
                <w:b w:val="0"/>
                <w:sz w:val="18"/>
                <w:szCs w:val="18"/>
              </w:rPr>
              <w:t>Yararaca</w:t>
            </w:r>
          </w:p>
        </w:tc>
        <w:tc>
          <w:tcPr>
            <w:tcW w:w="1218" w:type="dxa"/>
          </w:tcPr>
          <w:p w14:paraId="00000024"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19</w:t>
            </w:r>
          </w:p>
        </w:tc>
        <w:tc>
          <w:tcPr>
            <w:tcW w:w="1380" w:type="dxa"/>
          </w:tcPr>
          <w:p w14:paraId="00000025"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w:t>
            </w:r>
          </w:p>
        </w:tc>
        <w:tc>
          <w:tcPr>
            <w:tcW w:w="1368" w:type="dxa"/>
          </w:tcPr>
          <w:p w14:paraId="00000026"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w:t>
            </w:r>
          </w:p>
        </w:tc>
        <w:tc>
          <w:tcPr>
            <w:tcW w:w="1158" w:type="dxa"/>
          </w:tcPr>
          <w:p w14:paraId="00000027"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w:t>
            </w:r>
          </w:p>
        </w:tc>
      </w:tr>
      <w:tr w:rsidR="00053842" w14:paraId="5D800116" w14:textId="77777777" w:rsidTr="00053842">
        <w:trPr>
          <w:trHeight w:val="255"/>
          <w:jc w:val="center"/>
        </w:trPr>
        <w:tc>
          <w:tcPr>
            <w:cnfStyle w:val="001000000000" w:firstRow="0" w:lastRow="0" w:firstColumn="1" w:lastColumn="0" w:oddVBand="0" w:evenVBand="0" w:oddHBand="0" w:evenHBand="0" w:firstRowFirstColumn="0" w:firstRowLastColumn="0" w:lastRowFirstColumn="0" w:lastRowLastColumn="0"/>
            <w:tcW w:w="2320" w:type="dxa"/>
          </w:tcPr>
          <w:p w14:paraId="00000028" w14:textId="77777777" w:rsidR="00053842" w:rsidRDefault="00CC2250">
            <w:pPr>
              <w:jc w:val="both"/>
              <w:rPr>
                <w:rFonts w:ascii="Quicksand" w:eastAsia="Quicksand" w:hAnsi="Quicksand" w:cs="Quicksand"/>
                <w:sz w:val="18"/>
                <w:szCs w:val="18"/>
              </w:rPr>
            </w:pPr>
            <w:r>
              <w:rPr>
                <w:rFonts w:ascii="Quicksand" w:eastAsia="Quicksand" w:hAnsi="Quicksand" w:cs="Quicksand"/>
                <w:b w:val="0"/>
                <w:sz w:val="18"/>
                <w:szCs w:val="18"/>
              </w:rPr>
              <w:t>Pueblo Nuevo</w:t>
            </w:r>
          </w:p>
        </w:tc>
        <w:tc>
          <w:tcPr>
            <w:tcW w:w="1218" w:type="dxa"/>
          </w:tcPr>
          <w:p w14:paraId="00000029"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33</w:t>
            </w:r>
          </w:p>
        </w:tc>
        <w:tc>
          <w:tcPr>
            <w:tcW w:w="1380" w:type="dxa"/>
          </w:tcPr>
          <w:p w14:paraId="0000002A"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w:t>
            </w:r>
          </w:p>
        </w:tc>
        <w:tc>
          <w:tcPr>
            <w:tcW w:w="1368" w:type="dxa"/>
          </w:tcPr>
          <w:p w14:paraId="0000002B"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5</w:t>
            </w:r>
          </w:p>
        </w:tc>
        <w:tc>
          <w:tcPr>
            <w:tcW w:w="1158" w:type="dxa"/>
          </w:tcPr>
          <w:p w14:paraId="0000002C"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5</w:t>
            </w:r>
          </w:p>
        </w:tc>
      </w:tr>
      <w:tr w:rsidR="00053842" w14:paraId="12B69A83" w14:textId="77777777" w:rsidTr="0005384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20" w:type="dxa"/>
          </w:tcPr>
          <w:p w14:paraId="0000002D" w14:textId="77777777" w:rsidR="00053842" w:rsidRDefault="00CC2250">
            <w:pPr>
              <w:jc w:val="both"/>
              <w:rPr>
                <w:rFonts w:ascii="Quicksand" w:eastAsia="Quicksand" w:hAnsi="Quicksand" w:cs="Quicksand"/>
                <w:sz w:val="18"/>
                <w:szCs w:val="18"/>
              </w:rPr>
            </w:pPr>
            <w:r>
              <w:rPr>
                <w:rFonts w:ascii="Quicksand" w:eastAsia="Quicksand" w:hAnsi="Quicksand" w:cs="Quicksand"/>
                <w:b w:val="0"/>
                <w:sz w:val="18"/>
                <w:szCs w:val="18"/>
              </w:rPr>
              <w:t>Macayucá</w:t>
            </w:r>
          </w:p>
        </w:tc>
        <w:tc>
          <w:tcPr>
            <w:tcW w:w="1218" w:type="dxa"/>
          </w:tcPr>
          <w:p w14:paraId="0000002E"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20</w:t>
            </w:r>
          </w:p>
        </w:tc>
        <w:tc>
          <w:tcPr>
            <w:tcW w:w="1380" w:type="dxa"/>
          </w:tcPr>
          <w:p w14:paraId="0000002F"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4</w:t>
            </w:r>
          </w:p>
        </w:tc>
        <w:tc>
          <w:tcPr>
            <w:tcW w:w="1368" w:type="dxa"/>
          </w:tcPr>
          <w:p w14:paraId="00000030"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w:t>
            </w:r>
          </w:p>
        </w:tc>
        <w:tc>
          <w:tcPr>
            <w:tcW w:w="1158" w:type="dxa"/>
          </w:tcPr>
          <w:p w14:paraId="00000031"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5</w:t>
            </w:r>
          </w:p>
        </w:tc>
      </w:tr>
      <w:tr w:rsidR="00053842" w14:paraId="02524E30" w14:textId="77777777" w:rsidTr="00053842">
        <w:trPr>
          <w:trHeight w:val="255"/>
          <w:jc w:val="center"/>
        </w:trPr>
        <w:tc>
          <w:tcPr>
            <w:cnfStyle w:val="001000000000" w:firstRow="0" w:lastRow="0" w:firstColumn="1" w:lastColumn="0" w:oddVBand="0" w:evenVBand="0" w:oddHBand="0" w:evenHBand="0" w:firstRowFirstColumn="0" w:firstRowLastColumn="0" w:lastRowFirstColumn="0" w:lastRowLastColumn="0"/>
            <w:tcW w:w="2320" w:type="dxa"/>
          </w:tcPr>
          <w:p w14:paraId="00000032" w14:textId="77777777" w:rsidR="00053842" w:rsidRDefault="00CC2250">
            <w:pPr>
              <w:jc w:val="both"/>
              <w:rPr>
                <w:rFonts w:ascii="Quicksand" w:eastAsia="Quicksand" w:hAnsi="Quicksand" w:cs="Quicksand"/>
                <w:sz w:val="18"/>
                <w:szCs w:val="18"/>
              </w:rPr>
            </w:pPr>
            <w:r>
              <w:rPr>
                <w:rFonts w:ascii="Quicksand" w:eastAsia="Quicksand" w:hAnsi="Quicksand" w:cs="Quicksand"/>
                <w:b w:val="0"/>
                <w:sz w:val="18"/>
                <w:szCs w:val="18"/>
              </w:rPr>
              <w:t>Ceima San Pablo</w:t>
            </w:r>
          </w:p>
        </w:tc>
        <w:tc>
          <w:tcPr>
            <w:tcW w:w="1218" w:type="dxa"/>
          </w:tcPr>
          <w:p w14:paraId="00000033"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13</w:t>
            </w:r>
          </w:p>
        </w:tc>
        <w:tc>
          <w:tcPr>
            <w:tcW w:w="1380" w:type="dxa"/>
          </w:tcPr>
          <w:p w14:paraId="00000034"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w:t>
            </w:r>
          </w:p>
        </w:tc>
        <w:tc>
          <w:tcPr>
            <w:tcW w:w="1368" w:type="dxa"/>
          </w:tcPr>
          <w:p w14:paraId="00000035"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w:t>
            </w:r>
          </w:p>
        </w:tc>
        <w:tc>
          <w:tcPr>
            <w:tcW w:w="1158" w:type="dxa"/>
          </w:tcPr>
          <w:p w14:paraId="00000036"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w:t>
            </w:r>
          </w:p>
        </w:tc>
      </w:tr>
      <w:tr w:rsidR="00053842" w14:paraId="2A8E3C90" w14:textId="77777777" w:rsidTr="00053842">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20" w:type="dxa"/>
          </w:tcPr>
          <w:p w14:paraId="00000037" w14:textId="77777777" w:rsidR="00053842" w:rsidRDefault="00CC2250">
            <w:pPr>
              <w:jc w:val="both"/>
              <w:rPr>
                <w:rFonts w:ascii="Quicksand" w:eastAsia="Quicksand" w:hAnsi="Quicksand" w:cs="Quicksand"/>
                <w:sz w:val="18"/>
                <w:szCs w:val="18"/>
              </w:rPr>
            </w:pPr>
            <w:r>
              <w:rPr>
                <w:rFonts w:ascii="Quicksand" w:eastAsia="Quicksand" w:hAnsi="Quicksand" w:cs="Quicksand"/>
                <w:b w:val="0"/>
                <w:sz w:val="18"/>
                <w:szCs w:val="18"/>
              </w:rPr>
              <w:t>Ceima Cachivera</w:t>
            </w:r>
          </w:p>
        </w:tc>
        <w:tc>
          <w:tcPr>
            <w:tcW w:w="1218" w:type="dxa"/>
          </w:tcPr>
          <w:p w14:paraId="00000038"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23</w:t>
            </w:r>
          </w:p>
        </w:tc>
        <w:tc>
          <w:tcPr>
            <w:tcW w:w="1380" w:type="dxa"/>
          </w:tcPr>
          <w:p w14:paraId="00000039"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w:t>
            </w:r>
          </w:p>
        </w:tc>
        <w:tc>
          <w:tcPr>
            <w:tcW w:w="1368" w:type="dxa"/>
          </w:tcPr>
          <w:p w14:paraId="0000003A"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w:t>
            </w:r>
          </w:p>
        </w:tc>
        <w:tc>
          <w:tcPr>
            <w:tcW w:w="1158" w:type="dxa"/>
          </w:tcPr>
          <w:p w14:paraId="0000003B"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w:t>
            </w:r>
          </w:p>
        </w:tc>
      </w:tr>
      <w:tr w:rsidR="00053842" w14:paraId="2DB631D7" w14:textId="77777777" w:rsidTr="00053842">
        <w:trPr>
          <w:trHeight w:val="255"/>
          <w:jc w:val="center"/>
        </w:trPr>
        <w:tc>
          <w:tcPr>
            <w:cnfStyle w:val="001000000000" w:firstRow="0" w:lastRow="0" w:firstColumn="1" w:lastColumn="0" w:oddVBand="0" w:evenVBand="0" w:oddHBand="0" w:evenHBand="0" w:firstRowFirstColumn="0" w:firstRowLastColumn="0" w:lastRowFirstColumn="0" w:lastRowLastColumn="0"/>
            <w:tcW w:w="2320" w:type="dxa"/>
          </w:tcPr>
          <w:p w14:paraId="0000003C" w14:textId="77777777" w:rsidR="00053842" w:rsidRDefault="00CC2250">
            <w:pPr>
              <w:jc w:val="both"/>
              <w:rPr>
                <w:rFonts w:ascii="Quicksand" w:eastAsia="Quicksand" w:hAnsi="Quicksand" w:cs="Quicksand"/>
                <w:sz w:val="18"/>
                <w:szCs w:val="18"/>
              </w:rPr>
            </w:pPr>
            <w:r>
              <w:rPr>
                <w:rFonts w:ascii="Quicksand" w:eastAsia="Quicksand" w:hAnsi="Quicksand" w:cs="Quicksand"/>
                <w:b w:val="0"/>
                <w:sz w:val="18"/>
                <w:szCs w:val="18"/>
              </w:rPr>
              <w:t>Mituseño</w:t>
            </w:r>
          </w:p>
        </w:tc>
        <w:tc>
          <w:tcPr>
            <w:tcW w:w="1218" w:type="dxa"/>
          </w:tcPr>
          <w:p w14:paraId="0000003D"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31</w:t>
            </w:r>
          </w:p>
        </w:tc>
        <w:tc>
          <w:tcPr>
            <w:tcW w:w="1380" w:type="dxa"/>
          </w:tcPr>
          <w:p w14:paraId="0000003E"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2</w:t>
            </w:r>
          </w:p>
        </w:tc>
        <w:tc>
          <w:tcPr>
            <w:tcW w:w="1368" w:type="dxa"/>
          </w:tcPr>
          <w:p w14:paraId="0000003F"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3</w:t>
            </w:r>
          </w:p>
        </w:tc>
        <w:tc>
          <w:tcPr>
            <w:tcW w:w="1158" w:type="dxa"/>
          </w:tcPr>
          <w:p w14:paraId="00000040"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5</w:t>
            </w:r>
          </w:p>
        </w:tc>
      </w:tr>
      <w:tr w:rsidR="00053842" w14:paraId="41A2C133" w14:textId="77777777" w:rsidTr="0005384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20" w:type="dxa"/>
          </w:tcPr>
          <w:p w14:paraId="00000041" w14:textId="77777777" w:rsidR="00053842" w:rsidRDefault="00CC2250">
            <w:pPr>
              <w:jc w:val="both"/>
              <w:rPr>
                <w:rFonts w:ascii="Quicksand" w:eastAsia="Quicksand" w:hAnsi="Quicksand" w:cs="Quicksand"/>
                <w:sz w:val="18"/>
                <w:szCs w:val="18"/>
              </w:rPr>
            </w:pPr>
            <w:r>
              <w:rPr>
                <w:rFonts w:ascii="Quicksand" w:eastAsia="Quicksand" w:hAnsi="Quicksand" w:cs="Quicksand"/>
                <w:b w:val="0"/>
                <w:sz w:val="18"/>
                <w:szCs w:val="18"/>
              </w:rPr>
              <w:t>Santa Marta</w:t>
            </w:r>
          </w:p>
        </w:tc>
        <w:tc>
          <w:tcPr>
            <w:tcW w:w="1218" w:type="dxa"/>
          </w:tcPr>
          <w:p w14:paraId="00000042"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37</w:t>
            </w:r>
          </w:p>
        </w:tc>
        <w:tc>
          <w:tcPr>
            <w:tcW w:w="1380" w:type="dxa"/>
          </w:tcPr>
          <w:p w14:paraId="00000043"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2</w:t>
            </w:r>
          </w:p>
        </w:tc>
        <w:tc>
          <w:tcPr>
            <w:tcW w:w="1368" w:type="dxa"/>
          </w:tcPr>
          <w:p w14:paraId="00000044"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w:t>
            </w:r>
          </w:p>
        </w:tc>
        <w:tc>
          <w:tcPr>
            <w:tcW w:w="1158" w:type="dxa"/>
          </w:tcPr>
          <w:p w14:paraId="00000045"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2</w:t>
            </w:r>
          </w:p>
        </w:tc>
      </w:tr>
      <w:tr w:rsidR="00053842" w14:paraId="1BDA8EEE" w14:textId="77777777" w:rsidTr="00053842">
        <w:trPr>
          <w:trHeight w:val="255"/>
          <w:jc w:val="center"/>
        </w:trPr>
        <w:tc>
          <w:tcPr>
            <w:cnfStyle w:val="001000000000" w:firstRow="0" w:lastRow="0" w:firstColumn="1" w:lastColumn="0" w:oddVBand="0" w:evenVBand="0" w:oddHBand="0" w:evenHBand="0" w:firstRowFirstColumn="0" w:firstRowLastColumn="0" w:lastRowFirstColumn="0" w:lastRowLastColumn="0"/>
            <w:tcW w:w="2320" w:type="dxa"/>
          </w:tcPr>
          <w:p w14:paraId="00000046" w14:textId="77777777" w:rsidR="00053842" w:rsidRDefault="00CC2250">
            <w:pPr>
              <w:jc w:val="both"/>
              <w:rPr>
                <w:rFonts w:ascii="Quicksand" w:eastAsia="Quicksand" w:hAnsi="Quicksand" w:cs="Quicksand"/>
                <w:sz w:val="18"/>
                <w:szCs w:val="18"/>
              </w:rPr>
            </w:pPr>
            <w:r>
              <w:rPr>
                <w:rFonts w:ascii="Quicksand" w:eastAsia="Quicksand" w:hAnsi="Quicksand" w:cs="Quicksand"/>
                <w:b w:val="0"/>
                <w:sz w:val="18"/>
                <w:szCs w:val="18"/>
              </w:rPr>
              <w:t>Puerto Golondrina</w:t>
            </w:r>
          </w:p>
        </w:tc>
        <w:tc>
          <w:tcPr>
            <w:tcW w:w="1218" w:type="dxa"/>
          </w:tcPr>
          <w:p w14:paraId="00000047"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21</w:t>
            </w:r>
          </w:p>
        </w:tc>
        <w:tc>
          <w:tcPr>
            <w:tcW w:w="1380" w:type="dxa"/>
          </w:tcPr>
          <w:p w14:paraId="00000048"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3</w:t>
            </w:r>
          </w:p>
        </w:tc>
        <w:tc>
          <w:tcPr>
            <w:tcW w:w="1368" w:type="dxa"/>
          </w:tcPr>
          <w:p w14:paraId="00000049"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2</w:t>
            </w:r>
          </w:p>
        </w:tc>
        <w:tc>
          <w:tcPr>
            <w:tcW w:w="1158" w:type="dxa"/>
          </w:tcPr>
          <w:p w14:paraId="0000004A"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5</w:t>
            </w:r>
          </w:p>
        </w:tc>
      </w:tr>
      <w:tr w:rsidR="00053842" w14:paraId="2AAA0C4A" w14:textId="77777777" w:rsidTr="0005384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20" w:type="dxa"/>
          </w:tcPr>
          <w:p w14:paraId="0000004B" w14:textId="77777777" w:rsidR="00053842" w:rsidRDefault="00CC2250">
            <w:pPr>
              <w:jc w:val="both"/>
              <w:rPr>
                <w:rFonts w:ascii="Quicksand" w:eastAsia="Quicksand" w:hAnsi="Quicksand" w:cs="Quicksand"/>
                <w:sz w:val="18"/>
                <w:szCs w:val="18"/>
              </w:rPr>
            </w:pPr>
            <w:r>
              <w:rPr>
                <w:rFonts w:ascii="Quicksand" w:eastAsia="Quicksand" w:hAnsi="Quicksand" w:cs="Quicksand"/>
                <w:b w:val="0"/>
                <w:sz w:val="18"/>
                <w:szCs w:val="18"/>
              </w:rPr>
              <w:t>Garrafa</w:t>
            </w:r>
          </w:p>
        </w:tc>
        <w:tc>
          <w:tcPr>
            <w:tcW w:w="1218" w:type="dxa"/>
          </w:tcPr>
          <w:p w14:paraId="0000004C"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19</w:t>
            </w:r>
          </w:p>
        </w:tc>
        <w:tc>
          <w:tcPr>
            <w:tcW w:w="1380" w:type="dxa"/>
          </w:tcPr>
          <w:p w14:paraId="0000004D"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w:t>
            </w:r>
          </w:p>
        </w:tc>
        <w:tc>
          <w:tcPr>
            <w:tcW w:w="1368" w:type="dxa"/>
          </w:tcPr>
          <w:p w14:paraId="0000004E"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2</w:t>
            </w:r>
          </w:p>
        </w:tc>
        <w:tc>
          <w:tcPr>
            <w:tcW w:w="1158" w:type="dxa"/>
          </w:tcPr>
          <w:p w14:paraId="0000004F"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2</w:t>
            </w:r>
          </w:p>
        </w:tc>
      </w:tr>
      <w:tr w:rsidR="00053842" w14:paraId="58A645D4" w14:textId="77777777" w:rsidTr="00053842">
        <w:trPr>
          <w:trHeight w:val="270"/>
          <w:jc w:val="center"/>
        </w:trPr>
        <w:tc>
          <w:tcPr>
            <w:cnfStyle w:val="001000000000" w:firstRow="0" w:lastRow="0" w:firstColumn="1" w:lastColumn="0" w:oddVBand="0" w:evenVBand="0" w:oddHBand="0" w:evenHBand="0" w:firstRowFirstColumn="0" w:firstRowLastColumn="0" w:lastRowFirstColumn="0" w:lastRowLastColumn="0"/>
            <w:tcW w:w="2320" w:type="dxa"/>
          </w:tcPr>
          <w:p w14:paraId="00000050" w14:textId="77777777" w:rsidR="00053842" w:rsidRDefault="00CC2250">
            <w:pPr>
              <w:jc w:val="both"/>
              <w:rPr>
                <w:rFonts w:ascii="Quicksand" w:eastAsia="Quicksand" w:hAnsi="Quicksand" w:cs="Quicksand"/>
                <w:sz w:val="18"/>
                <w:szCs w:val="18"/>
              </w:rPr>
            </w:pPr>
            <w:r>
              <w:rPr>
                <w:rFonts w:ascii="Quicksand" w:eastAsia="Quicksand" w:hAnsi="Quicksand" w:cs="Quicksand"/>
                <w:b w:val="0"/>
                <w:sz w:val="18"/>
                <w:szCs w:val="18"/>
              </w:rPr>
              <w:t>Puerto López</w:t>
            </w:r>
          </w:p>
        </w:tc>
        <w:tc>
          <w:tcPr>
            <w:tcW w:w="1218" w:type="dxa"/>
          </w:tcPr>
          <w:p w14:paraId="00000051"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26</w:t>
            </w:r>
          </w:p>
        </w:tc>
        <w:tc>
          <w:tcPr>
            <w:tcW w:w="1380" w:type="dxa"/>
          </w:tcPr>
          <w:p w14:paraId="00000052"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11</w:t>
            </w:r>
          </w:p>
        </w:tc>
        <w:tc>
          <w:tcPr>
            <w:tcW w:w="1368" w:type="dxa"/>
          </w:tcPr>
          <w:p w14:paraId="00000053"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w:t>
            </w:r>
          </w:p>
        </w:tc>
        <w:tc>
          <w:tcPr>
            <w:tcW w:w="1158" w:type="dxa"/>
          </w:tcPr>
          <w:p w14:paraId="00000054"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11</w:t>
            </w:r>
          </w:p>
        </w:tc>
      </w:tr>
      <w:tr w:rsidR="00053842" w14:paraId="7DD1B2C6" w14:textId="77777777" w:rsidTr="0005384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20" w:type="dxa"/>
          </w:tcPr>
          <w:p w14:paraId="00000055" w14:textId="77777777" w:rsidR="00053842" w:rsidRDefault="00CC2250">
            <w:pPr>
              <w:jc w:val="both"/>
              <w:rPr>
                <w:rFonts w:ascii="Quicksand" w:eastAsia="Quicksand" w:hAnsi="Quicksand" w:cs="Quicksand"/>
                <w:sz w:val="18"/>
                <w:szCs w:val="18"/>
              </w:rPr>
            </w:pPr>
            <w:r>
              <w:rPr>
                <w:rFonts w:ascii="Quicksand" w:eastAsia="Quicksand" w:hAnsi="Quicksand" w:cs="Quicksand"/>
                <w:b w:val="0"/>
                <w:sz w:val="18"/>
                <w:szCs w:val="18"/>
              </w:rPr>
              <w:t>Tucunaré</w:t>
            </w:r>
          </w:p>
        </w:tc>
        <w:tc>
          <w:tcPr>
            <w:tcW w:w="1218" w:type="dxa"/>
          </w:tcPr>
          <w:p w14:paraId="00000056"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36</w:t>
            </w:r>
          </w:p>
        </w:tc>
        <w:tc>
          <w:tcPr>
            <w:tcW w:w="1380" w:type="dxa"/>
          </w:tcPr>
          <w:p w14:paraId="00000057"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6</w:t>
            </w:r>
          </w:p>
        </w:tc>
        <w:tc>
          <w:tcPr>
            <w:tcW w:w="1368" w:type="dxa"/>
          </w:tcPr>
          <w:p w14:paraId="00000058"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w:t>
            </w:r>
          </w:p>
        </w:tc>
        <w:tc>
          <w:tcPr>
            <w:tcW w:w="1158" w:type="dxa"/>
          </w:tcPr>
          <w:p w14:paraId="00000059"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7</w:t>
            </w:r>
          </w:p>
        </w:tc>
      </w:tr>
      <w:tr w:rsidR="00053842" w14:paraId="70C4512F" w14:textId="77777777" w:rsidTr="00053842">
        <w:trPr>
          <w:trHeight w:val="255"/>
          <w:jc w:val="center"/>
        </w:trPr>
        <w:tc>
          <w:tcPr>
            <w:cnfStyle w:val="001000000000" w:firstRow="0" w:lastRow="0" w:firstColumn="1" w:lastColumn="0" w:oddVBand="0" w:evenVBand="0" w:oddHBand="0" w:evenHBand="0" w:firstRowFirstColumn="0" w:firstRowLastColumn="0" w:lastRowFirstColumn="0" w:lastRowLastColumn="0"/>
            <w:tcW w:w="2320" w:type="dxa"/>
          </w:tcPr>
          <w:p w14:paraId="0000005A" w14:textId="77777777" w:rsidR="00053842" w:rsidRDefault="00CC2250">
            <w:pPr>
              <w:jc w:val="both"/>
              <w:rPr>
                <w:rFonts w:ascii="Quicksand" w:eastAsia="Quicksand" w:hAnsi="Quicksand" w:cs="Quicksand"/>
                <w:sz w:val="18"/>
                <w:szCs w:val="18"/>
              </w:rPr>
            </w:pPr>
            <w:r>
              <w:rPr>
                <w:rFonts w:ascii="Quicksand" w:eastAsia="Quicksand" w:hAnsi="Quicksand" w:cs="Quicksand"/>
                <w:b w:val="0"/>
                <w:sz w:val="18"/>
                <w:szCs w:val="18"/>
              </w:rPr>
              <w:t>Macaquiño</w:t>
            </w:r>
          </w:p>
        </w:tc>
        <w:tc>
          <w:tcPr>
            <w:tcW w:w="1218" w:type="dxa"/>
          </w:tcPr>
          <w:p w14:paraId="0000005B"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52</w:t>
            </w:r>
          </w:p>
        </w:tc>
        <w:tc>
          <w:tcPr>
            <w:tcW w:w="1380" w:type="dxa"/>
          </w:tcPr>
          <w:p w14:paraId="0000005C"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4</w:t>
            </w:r>
          </w:p>
        </w:tc>
        <w:tc>
          <w:tcPr>
            <w:tcW w:w="1368" w:type="dxa"/>
          </w:tcPr>
          <w:p w14:paraId="0000005D"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3</w:t>
            </w:r>
          </w:p>
        </w:tc>
        <w:tc>
          <w:tcPr>
            <w:tcW w:w="1158" w:type="dxa"/>
          </w:tcPr>
          <w:p w14:paraId="0000005E"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7</w:t>
            </w:r>
          </w:p>
        </w:tc>
      </w:tr>
      <w:tr w:rsidR="00053842" w14:paraId="366B70A2" w14:textId="77777777" w:rsidTr="00053842">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20" w:type="dxa"/>
          </w:tcPr>
          <w:p w14:paraId="0000005F" w14:textId="77777777" w:rsidR="00053842" w:rsidRDefault="00CC2250">
            <w:pPr>
              <w:jc w:val="both"/>
              <w:rPr>
                <w:rFonts w:ascii="Quicksand" w:eastAsia="Quicksand" w:hAnsi="Quicksand" w:cs="Quicksand"/>
                <w:sz w:val="18"/>
                <w:szCs w:val="18"/>
              </w:rPr>
            </w:pPr>
            <w:r>
              <w:rPr>
                <w:rFonts w:ascii="Quicksand" w:eastAsia="Quicksand" w:hAnsi="Quicksand" w:cs="Quicksand"/>
                <w:b w:val="0"/>
                <w:sz w:val="18"/>
                <w:szCs w:val="18"/>
              </w:rPr>
              <w:lastRenderedPageBreak/>
              <w:t>Trubón</w:t>
            </w:r>
          </w:p>
        </w:tc>
        <w:tc>
          <w:tcPr>
            <w:tcW w:w="1218" w:type="dxa"/>
          </w:tcPr>
          <w:p w14:paraId="00000060"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29</w:t>
            </w:r>
          </w:p>
        </w:tc>
        <w:tc>
          <w:tcPr>
            <w:tcW w:w="1380" w:type="dxa"/>
          </w:tcPr>
          <w:p w14:paraId="00000061"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2</w:t>
            </w:r>
          </w:p>
        </w:tc>
        <w:tc>
          <w:tcPr>
            <w:tcW w:w="1368" w:type="dxa"/>
          </w:tcPr>
          <w:p w14:paraId="00000062"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w:t>
            </w:r>
          </w:p>
        </w:tc>
        <w:tc>
          <w:tcPr>
            <w:tcW w:w="1158" w:type="dxa"/>
          </w:tcPr>
          <w:p w14:paraId="00000063"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2</w:t>
            </w:r>
          </w:p>
        </w:tc>
      </w:tr>
      <w:tr w:rsidR="00053842" w14:paraId="52CCDABB" w14:textId="77777777" w:rsidTr="00053842">
        <w:trPr>
          <w:trHeight w:val="270"/>
          <w:jc w:val="center"/>
        </w:trPr>
        <w:tc>
          <w:tcPr>
            <w:cnfStyle w:val="001000000000" w:firstRow="0" w:lastRow="0" w:firstColumn="1" w:lastColumn="0" w:oddVBand="0" w:evenVBand="0" w:oddHBand="0" w:evenHBand="0" w:firstRowFirstColumn="0" w:firstRowLastColumn="0" w:lastRowFirstColumn="0" w:lastRowLastColumn="0"/>
            <w:tcW w:w="2320" w:type="dxa"/>
          </w:tcPr>
          <w:p w14:paraId="00000064" w14:textId="77777777" w:rsidR="00053842" w:rsidRDefault="00CC2250">
            <w:pPr>
              <w:jc w:val="both"/>
              <w:rPr>
                <w:rFonts w:ascii="Quicksand" w:eastAsia="Quicksand" w:hAnsi="Quicksand" w:cs="Quicksand"/>
                <w:sz w:val="18"/>
                <w:szCs w:val="18"/>
              </w:rPr>
            </w:pPr>
            <w:r>
              <w:rPr>
                <w:rFonts w:ascii="Quicksand" w:eastAsia="Quicksand" w:hAnsi="Quicksand" w:cs="Quicksand"/>
                <w:b w:val="0"/>
                <w:sz w:val="18"/>
                <w:szCs w:val="18"/>
              </w:rPr>
              <w:t>Wacará</w:t>
            </w:r>
          </w:p>
        </w:tc>
        <w:tc>
          <w:tcPr>
            <w:tcW w:w="1218" w:type="dxa"/>
          </w:tcPr>
          <w:p w14:paraId="00000065"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45</w:t>
            </w:r>
          </w:p>
        </w:tc>
        <w:tc>
          <w:tcPr>
            <w:tcW w:w="1380" w:type="dxa"/>
          </w:tcPr>
          <w:p w14:paraId="00000066"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w:t>
            </w:r>
          </w:p>
        </w:tc>
        <w:tc>
          <w:tcPr>
            <w:tcW w:w="1368" w:type="dxa"/>
          </w:tcPr>
          <w:p w14:paraId="00000067"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w:t>
            </w:r>
          </w:p>
        </w:tc>
        <w:tc>
          <w:tcPr>
            <w:tcW w:w="1158" w:type="dxa"/>
          </w:tcPr>
          <w:p w14:paraId="00000068"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2</w:t>
            </w:r>
          </w:p>
        </w:tc>
      </w:tr>
      <w:tr w:rsidR="00053842" w14:paraId="17F016A5" w14:textId="77777777" w:rsidTr="00053842">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20" w:type="dxa"/>
          </w:tcPr>
          <w:p w14:paraId="00000069" w14:textId="77777777" w:rsidR="00053842" w:rsidRDefault="00CC2250">
            <w:pPr>
              <w:jc w:val="both"/>
              <w:rPr>
                <w:rFonts w:ascii="Quicksand" w:eastAsia="Quicksand" w:hAnsi="Quicksand" w:cs="Quicksand"/>
                <w:sz w:val="18"/>
                <w:szCs w:val="18"/>
              </w:rPr>
            </w:pPr>
            <w:r>
              <w:rPr>
                <w:rFonts w:ascii="Quicksand" w:eastAsia="Quicksand" w:hAnsi="Quicksand" w:cs="Quicksand"/>
                <w:sz w:val="18"/>
                <w:szCs w:val="18"/>
              </w:rPr>
              <w:t>Total</w:t>
            </w:r>
          </w:p>
        </w:tc>
        <w:tc>
          <w:tcPr>
            <w:tcW w:w="1218" w:type="dxa"/>
          </w:tcPr>
          <w:p w14:paraId="0000006A"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b/>
                <w:sz w:val="18"/>
                <w:szCs w:val="18"/>
              </w:rPr>
            </w:pPr>
            <w:r>
              <w:rPr>
                <w:rFonts w:ascii="Quicksand" w:eastAsia="Quicksand" w:hAnsi="Quicksand" w:cs="Quicksand"/>
                <w:b/>
                <w:sz w:val="18"/>
                <w:szCs w:val="18"/>
              </w:rPr>
              <w:t>492</w:t>
            </w:r>
          </w:p>
        </w:tc>
        <w:tc>
          <w:tcPr>
            <w:tcW w:w="1380" w:type="dxa"/>
          </w:tcPr>
          <w:p w14:paraId="0000006B"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b/>
                <w:sz w:val="18"/>
                <w:szCs w:val="18"/>
              </w:rPr>
            </w:pPr>
            <w:r>
              <w:rPr>
                <w:rFonts w:ascii="Quicksand" w:eastAsia="Quicksand" w:hAnsi="Quicksand" w:cs="Quicksand"/>
                <w:b/>
                <w:sz w:val="18"/>
                <w:szCs w:val="18"/>
              </w:rPr>
              <w:t>38</w:t>
            </w:r>
          </w:p>
        </w:tc>
        <w:tc>
          <w:tcPr>
            <w:tcW w:w="1368" w:type="dxa"/>
          </w:tcPr>
          <w:p w14:paraId="0000006C"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b/>
                <w:sz w:val="18"/>
                <w:szCs w:val="18"/>
              </w:rPr>
            </w:pPr>
            <w:r>
              <w:rPr>
                <w:rFonts w:ascii="Quicksand" w:eastAsia="Quicksand" w:hAnsi="Quicksand" w:cs="Quicksand"/>
                <w:b/>
                <w:sz w:val="18"/>
                <w:szCs w:val="18"/>
              </w:rPr>
              <w:t>27</w:t>
            </w:r>
          </w:p>
        </w:tc>
        <w:tc>
          <w:tcPr>
            <w:tcW w:w="1158" w:type="dxa"/>
          </w:tcPr>
          <w:p w14:paraId="0000006D"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b/>
                <w:sz w:val="18"/>
                <w:szCs w:val="18"/>
              </w:rPr>
            </w:pPr>
            <w:r>
              <w:rPr>
                <w:rFonts w:ascii="Quicksand" w:eastAsia="Quicksand" w:hAnsi="Quicksand" w:cs="Quicksand"/>
                <w:b/>
                <w:sz w:val="18"/>
                <w:szCs w:val="18"/>
              </w:rPr>
              <w:t>65</w:t>
            </w:r>
          </w:p>
        </w:tc>
      </w:tr>
    </w:tbl>
    <w:p w14:paraId="0000006E" w14:textId="77777777" w:rsidR="00053842" w:rsidRDefault="00CC2250">
      <w:pPr>
        <w:spacing w:after="160" w:line="259" w:lineRule="auto"/>
        <w:jc w:val="center"/>
        <w:rPr>
          <w:rFonts w:ascii="Quicksand" w:eastAsia="Quicksand" w:hAnsi="Quicksand" w:cs="Quicksand"/>
          <w:sz w:val="18"/>
          <w:szCs w:val="18"/>
        </w:rPr>
      </w:pPr>
      <w:r>
        <w:rPr>
          <w:rFonts w:ascii="Quicksand" w:eastAsia="Quicksand" w:hAnsi="Quicksand" w:cs="Quicksand"/>
          <w:sz w:val="18"/>
          <w:szCs w:val="18"/>
        </w:rPr>
        <w:t>Fuente: Sinergias 2018</w:t>
      </w:r>
    </w:p>
    <w:p w14:paraId="0000006F" w14:textId="77777777" w:rsidR="00053842" w:rsidRDefault="00CC2250">
      <w:pPr>
        <w:keepNext/>
        <w:jc w:val="center"/>
        <w:rPr>
          <w:rFonts w:ascii="Quicksand" w:eastAsia="Quicksand" w:hAnsi="Quicksand" w:cs="Quicksand"/>
          <w:color w:val="7F7F7F"/>
          <w:sz w:val="20"/>
          <w:szCs w:val="20"/>
        </w:rPr>
      </w:pPr>
      <w:r>
        <w:rPr>
          <w:rFonts w:ascii="Quicksand" w:eastAsia="Quicksand" w:hAnsi="Quicksand" w:cs="Quicksand"/>
          <w:color w:val="7F7F7F"/>
          <w:sz w:val="20"/>
          <w:szCs w:val="20"/>
        </w:rPr>
        <w:t>Tabla 3: Número de familias en la comunidad y visitadas en 1ra y 2da visita por punto de atención y zona. Septiembre 2018.</w:t>
      </w:r>
    </w:p>
    <w:tbl>
      <w:tblPr>
        <w:tblStyle w:val="a0"/>
        <w:tblW w:w="9782" w:type="dxa"/>
        <w:tblInd w:w="-431"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1282"/>
        <w:gridCol w:w="1271"/>
        <w:gridCol w:w="1134"/>
        <w:gridCol w:w="1134"/>
        <w:gridCol w:w="938"/>
        <w:gridCol w:w="904"/>
        <w:gridCol w:w="1418"/>
        <w:gridCol w:w="850"/>
        <w:gridCol w:w="851"/>
      </w:tblGrid>
      <w:tr w:rsidR="00053842" w14:paraId="70A18231" w14:textId="77777777" w:rsidTr="00053842">
        <w:trPr>
          <w:cnfStyle w:val="100000000000" w:firstRow="1" w:lastRow="0" w:firstColumn="0" w:lastColumn="0" w:oddVBand="0" w:evenVBand="0" w:oddHBand="0" w:evenHBand="0" w:firstRowFirstColumn="0" w:firstRowLastColumn="0" w:lastRowFirstColumn="0" w:lastRowLastColumn="0"/>
          <w:trHeight w:val="795"/>
        </w:trPr>
        <w:tc>
          <w:tcPr>
            <w:cnfStyle w:val="001000000100" w:firstRow="0" w:lastRow="0" w:firstColumn="1" w:lastColumn="0" w:oddVBand="0" w:evenVBand="0" w:oddHBand="0" w:evenHBand="0" w:firstRowFirstColumn="1" w:firstRowLastColumn="0" w:lastRowFirstColumn="0" w:lastRowLastColumn="0"/>
            <w:tcW w:w="1282" w:type="dxa"/>
          </w:tcPr>
          <w:p w14:paraId="00000070" w14:textId="77777777" w:rsidR="00053842" w:rsidRDefault="00CC2250">
            <w:pPr>
              <w:jc w:val="center"/>
              <w:rPr>
                <w:rFonts w:ascii="Quicksand" w:eastAsia="Quicksand" w:hAnsi="Quicksand" w:cs="Quicksand"/>
                <w:sz w:val="18"/>
                <w:szCs w:val="18"/>
              </w:rPr>
            </w:pPr>
            <w:r>
              <w:rPr>
                <w:rFonts w:ascii="Quicksand" w:eastAsia="Quicksand" w:hAnsi="Quicksand" w:cs="Quicksand"/>
                <w:b w:val="0"/>
                <w:sz w:val="18"/>
                <w:szCs w:val="18"/>
              </w:rPr>
              <w:t>Punto de atención en salud</w:t>
            </w:r>
          </w:p>
        </w:tc>
        <w:tc>
          <w:tcPr>
            <w:tcW w:w="1271" w:type="dxa"/>
          </w:tcPr>
          <w:p w14:paraId="00000071" w14:textId="77777777" w:rsidR="00053842" w:rsidRDefault="00CC2250">
            <w:pPr>
              <w:jc w:val="center"/>
              <w:cnfStyle w:val="100000000000" w:firstRow="1"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b w:val="0"/>
                <w:sz w:val="18"/>
                <w:szCs w:val="18"/>
              </w:rPr>
              <w:t>Comunidad</w:t>
            </w:r>
          </w:p>
        </w:tc>
        <w:tc>
          <w:tcPr>
            <w:tcW w:w="1134" w:type="dxa"/>
          </w:tcPr>
          <w:p w14:paraId="00000072" w14:textId="77777777" w:rsidR="00053842" w:rsidRDefault="00CC2250">
            <w:pPr>
              <w:jc w:val="center"/>
              <w:cnfStyle w:val="100000000000" w:firstRow="1"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b w:val="0"/>
                <w:sz w:val="18"/>
                <w:szCs w:val="18"/>
              </w:rPr>
              <w:t>No. Habitantes censados</w:t>
            </w:r>
          </w:p>
        </w:tc>
        <w:tc>
          <w:tcPr>
            <w:tcW w:w="1134" w:type="dxa"/>
          </w:tcPr>
          <w:p w14:paraId="00000073" w14:textId="77777777" w:rsidR="00053842" w:rsidRDefault="00CC2250">
            <w:pPr>
              <w:jc w:val="center"/>
              <w:cnfStyle w:val="100000000000" w:firstRow="1"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b w:val="0"/>
                <w:sz w:val="18"/>
                <w:szCs w:val="18"/>
              </w:rPr>
              <w:t>Familias Censadas</w:t>
            </w:r>
          </w:p>
        </w:tc>
        <w:tc>
          <w:tcPr>
            <w:tcW w:w="938" w:type="dxa"/>
          </w:tcPr>
          <w:p w14:paraId="00000074" w14:textId="77777777" w:rsidR="00053842" w:rsidRDefault="00CC2250">
            <w:pPr>
              <w:jc w:val="center"/>
              <w:cnfStyle w:val="100000000000" w:firstRow="1"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b w:val="0"/>
                <w:sz w:val="18"/>
                <w:szCs w:val="18"/>
              </w:rPr>
              <w:t>Familias con visita de caracterización</w:t>
            </w:r>
          </w:p>
        </w:tc>
        <w:tc>
          <w:tcPr>
            <w:tcW w:w="904" w:type="dxa"/>
          </w:tcPr>
          <w:p w14:paraId="00000075" w14:textId="77777777" w:rsidR="00053842" w:rsidRDefault="00CC2250">
            <w:pPr>
              <w:jc w:val="center"/>
              <w:cnfStyle w:val="100000000000" w:firstRow="1"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b w:val="0"/>
                <w:sz w:val="18"/>
                <w:szCs w:val="18"/>
              </w:rPr>
              <w:t>%</w:t>
            </w:r>
          </w:p>
        </w:tc>
        <w:tc>
          <w:tcPr>
            <w:tcW w:w="1418" w:type="dxa"/>
          </w:tcPr>
          <w:p w14:paraId="00000076" w14:textId="77777777" w:rsidR="00053842" w:rsidRDefault="00CC2250">
            <w:pPr>
              <w:jc w:val="center"/>
              <w:cnfStyle w:val="100000000000" w:firstRow="1"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b w:val="0"/>
                <w:sz w:val="18"/>
                <w:szCs w:val="18"/>
              </w:rPr>
              <w:t>Familias permanentes</w:t>
            </w:r>
          </w:p>
        </w:tc>
        <w:tc>
          <w:tcPr>
            <w:tcW w:w="850" w:type="dxa"/>
          </w:tcPr>
          <w:p w14:paraId="00000077" w14:textId="77777777" w:rsidR="00053842" w:rsidRDefault="00CC2250">
            <w:pPr>
              <w:jc w:val="center"/>
              <w:cnfStyle w:val="100000000000" w:firstRow="1"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b w:val="0"/>
                <w:sz w:val="18"/>
                <w:szCs w:val="18"/>
              </w:rPr>
              <w:t>Familias con seguimiento</w:t>
            </w:r>
          </w:p>
        </w:tc>
        <w:tc>
          <w:tcPr>
            <w:tcW w:w="851" w:type="dxa"/>
          </w:tcPr>
          <w:p w14:paraId="00000078" w14:textId="77777777" w:rsidR="00053842" w:rsidRDefault="00CC2250">
            <w:pPr>
              <w:jc w:val="center"/>
              <w:cnfStyle w:val="100000000000" w:firstRow="1"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b w:val="0"/>
                <w:sz w:val="18"/>
                <w:szCs w:val="18"/>
              </w:rPr>
              <w:t>%</w:t>
            </w:r>
          </w:p>
        </w:tc>
      </w:tr>
      <w:tr w:rsidR="00053842" w14:paraId="7F0C9239" w14:textId="77777777" w:rsidTr="0005384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82" w:type="dxa"/>
            <w:vMerge w:val="restart"/>
            <w:vAlign w:val="center"/>
          </w:tcPr>
          <w:p w14:paraId="00000079" w14:textId="77777777" w:rsidR="00053842" w:rsidRDefault="00CC2250">
            <w:pPr>
              <w:rPr>
                <w:rFonts w:ascii="Quicksand" w:eastAsia="Quicksand" w:hAnsi="Quicksand" w:cs="Quicksand"/>
                <w:sz w:val="18"/>
                <w:szCs w:val="18"/>
              </w:rPr>
            </w:pPr>
            <w:r>
              <w:rPr>
                <w:rFonts w:ascii="Quicksand" w:eastAsia="Quicksand" w:hAnsi="Quicksand" w:cs="Quicksand"/>
                <w:sz w:val="18"/>
                <w:szCs w:val="18"/>
              </w:rPr>
              <w:t>Timbó</w:t>
            </w:r>
          </w:p>
        </w:tc>
        <w:tc>
          <w:tcPr>
            <w:tcW w:w="1271" w:type="dxa"/>
          </w:tcPr>
          <w:p w14:paraId="0000007A" w14:textId="77777777" w:rsidR="00053842" w:rsidRDefault="00CC2250">
            <w:pPr>
              <w:jc w:val="both"/>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Bogotá Cachivera</w:t>
            </w:r>
          </w:p>
        </w:tc>
        <w:tc>
          <w:tcPr>
            <w:tcW w:w="1134" w:type="dxa"/>
          </w:tcPr>
          <w:p w14:paraId="0000007B"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113</w:t>
            </w:r>
          </w:p>
        </w:tc>
        <w:tc>
          <w:tcPr>
            <w:tcW w:w="1134" w:type="dxa"/>
          </w:tcPr>
          <w:p w14:paraId="0000007C"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19</w:t>
            </w:r>
          </w:p>
        </w:tc>
        <w:tc>
          <w:tcPr>
            <w:tcW w:w="938" w:type="dxa"/>
          </w:tcPr>
          <w:p w14:paraId="0000007D"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19</w:t>
            </w:r>
          </w:p>
        </w:tc>
        <w:tc>
          <w:tcPr>
            <w:tcW w:w="904" w:type="dxa"/>
          </w:tcPr>
          <w:p w14:paraId="0000007E"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100,0%</w:t>
            </w:r>
          </w:p>
        </w:tc>
        <w:tc>
          <w:tcPr>
            <w:tcW w:w="1418" w:type="dxa"/>
          </w:tcPr>
          <w:p w14:paraId="0000007F"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19</w:t>
            </w:r>
          </w:p>
        </w:tc>
        <w:tc>
          <w:tcPr>
            <w:tcW w:w="850" w:type="dxa"/>
          </w:tcPr>
          <w:p w14:paraId="00000080"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19</w:t>
            </w:r>
          </w:p>
        </w:tc>
        <w:tc>
          <w:tcPr>
            <w:tcW w:w="851" w:type="dxa"/>
          </w:tcPr>
          <w:p w14:paraId="00000081"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100,0%</w:t>
            </w:r>
          </w:p>
        </w:tc>
      </w:tr>
      <w:tr w:rsidR="00053842" w14:paraId="2052A1CD" w14:textId="77777777" w:rsidTr="00053842">
        <w:trPr>
          <w:trHeight w:val="255"/>
        </w:trPr>
        <w:tc>
          <w:tcPr>
            <w:cnfStyle w:val="001000000000" w:firstRow="0" w:lastRow="0" w:firstColumn="1" w:lastColumn="0" w:oddVBand="0" w:evenVBand="0" w:oddHBand="0" w:evenHBand="0" w:firstRowFirstColumn="0" w:firstRowLastColumn="0" w:lastRowFirstColumn="0" w:lastRowLastColumn="0"/>
            <w:tcW w:w="1282" w:type="dxa"/>
            <w:vMerge/>
            <w:vAlign w:val="center"/>
          </w:tcPr>
          <w:p w14:paraId="00000082" w14:textId="77777777" w:rsidR="00053842" w:rsidRDefault="00053842">
            <w:pPr>
              <w:widowControl w:val="0"/>
              <w:rPr>
                <w:rFonts w:ascii="Quicksand" w:eastAsia="Quicksand" w:hAnsi="Quicksand" w:cs="Quicksand"/>
                <w:sz w:val="18"/>
                <w:szCs w:val="18"/>
              </w:rPr>
            </w:pPr>
          </w:p>
        </w:tc>
        <w:tc>
          <w:tcPr>
            <w:tcW w:w="1271" w:type="dxa"/>
          </w:tcPr>
          <w:p w14:paraId="00000083" w14:textId="77777777" w:rsidR="00053842" w:rsidRDefault="00CC2250">
            <w:pPr>
              <w:jc w:val="both"/>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Timbó de Betania</w:t>
            </w:r>
          </w:p>
        </w:tc>
        <w:tc>
          <w:tcPr>
            <w:tcW w:w="1134" w:type="dxa"/>
          </w:tcPr>
          <w:p w14:paraId="00000084"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114</w:t>
            </w:r>
          </w:p>
        </w:tc>
        <w:tc>
          <w:tcPr>
            <w:tcW w:w="1134" w:type="dxa"/>
          </w:tcPr>
          <w:p w14:paraId="00000085"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20</w:t>
            </w:r>
          </w:p>
        </w:tc>
        <w:tc>
          <w:tcPr>
            <w:tcW w:w="938" w:type="dxa"/>
          </w:tcPr>
          <w:p w14:paraId="00000086"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19</w:t>
            </w:r>
          </w:p>
        </w:tc>
        <w:tc>
          <w:tcPr>
            <w:tcW w:w="904" w:type="dxa"/>
          </w:tcPr>
          <w:p w14:paraId="00000087"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95,0%</w:t>
            </w:r>
          </w:p>
        </w:tc>
        <w:tc>
          <w:tcPr>
            <w:tcW w:w="1418" w:type="dxa"/>
          </w:tcPr>
          <w:p w14:paraId="00000088"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16</w:t>
            </w:r>
          </w:p>
        </w:tc>
        <w:tc>
          <w:tcPr>
            <w:tcW w:w="850" w:type="dxa"/>
          </w:tcPr>
          <w:p w14:paraId="00000089"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17</w:t>
            </w:r>
          </w:p>
        </w:tc>
        <w:tc>
          <w:tcPr>
            <w:tcW w:w="851" w:type="dxa"/>
          </w:tcPr>
          <w:p w14:paraId="0000008A"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106,3%</w:t>
            </w:r>
          </w:p>
        </w:tc>
      </w:tr>
      <w:tr w:rsidR="00053842" w14:paraId="1D15EA26" w14:textId="77777777" w:rsidTr="00053842">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1282" w:type="dxa"/>
            <w:vMerge/>
            <w:vAlign w:val="center"/>
          </w:tcPr>
          <w:p w14:paraId="0000008B" w14:textId="77777777" w:rsidR="00053842" w:rsidRDefault="00053842">
            <w:pPr>
              <w:widowControl w:val="0"/>
              <w:rPr>
                <w:rFonts w:ascii="Quicksand" w:eastAsia="Quicksand" w:hAnsi="Quicksand" w:cs="Quicksand"/>
                <w:sz w:val="18"/>
                <w:szCs w:val="18"/>
              </w:rPr>
            </w:pPr>
          </w:p>
        </w:tc>
        <w:tc>
          <w:tcPr>
            <w:tcW w:w="1271" w:type="dxa"/>
          </w:tcPr>
          <w:p w14:paraId="0000008C" w14:textId="77777777" w:rsidR="00053842" w:rsidRDefault="00CC2250">
            <w:pPr>
              <w:jc w:val="both"/>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Murutinga</w:t>
            </w:r>
          </w:p>
        </w:tc>
        <w:tc>
          <w:tcPr>
            <w:tcW w:w="1134" w:type="dxa"/>
          </w:tcPr>
          <w:p w14:paraId="0000008D"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173</w:t>
            </w:r>
          </w:p>
        </w:tc>
        <w:tc>
          <w:tcPr>
            <w:tcW w:w="1134" w:type="dxa"/>
          </w:tcPr>
          <w:p w14:paraId="0000008E"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34</w:t>
            </w:r>
          </w:p>
        </w:tc>
        <w:tc>
          <w:tcPr>
            <w:tcW w:w="938" w:type="dxa"/>
          </w:tcPr>
          <w:p w14:paraId="0000008F"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33</w:t>
            </w:r>
          </w:p>
        </w:tc>
        <w:tc>
          <w:tcPr>
            <w:tcW w:w="904" w:type="dxa"/>
          </w:tcPr>
          <w:p w14:paraId="00000090"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97,1%</w:t>
            </w:r>
          </w:p>
        </w:tc>
        <w:tc>
          <w:tcPr>
            <w:tcW w:w="1418" w:type="dxa"/>
          </w:tcPr>
          <w:p w14:paraId="00000091"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31</w:t>
            </w:r>
          </w:p>
        </w:tc>
        <w:tc>
          <w:tcPr>
            <w:tcW w:w="850" w:type="dxa"/>
          </w:tcPr>
          <w:p w14:paraId="00000092"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25</w:t>
            </w:r>
          </w:p>
        </w:tc>
        <w:tc>
          <w:tcPr>
            <w:tcW w:w="851" w:type="dxa"/>
          </w:tcPr>
          <w:p w14:paraId="00000093"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80,6%</w:t>
            </w:r>
          </w:p>
        </w:tc>
      </w:tr>
      <w:tr w:rsidR="00053842" w14:paraId="6CC481E1" w14:textId="77777777" w:rsidTr="00053842">
        <w:trPr>
          <w:trHeight w:val="270"/>
        </w:trPr>
        <w:tc>
          <w:tcPr>
            <w:cnfStyle w:val="001000000000" w:firstRow="0" w:lastRow="0" w:firstColumn="1" w:lastColumn="0" w:oddVBand="0" w:evenVBand="0" w:oddHBand="0" w:evenHBand="0" w:firstRowFirstColumn="0" w:firstRowLastColumn="0" w:lastRowFirstColumn="0" w:lastRowLastColumn="0"/>
            <w:tcW w:w="1282" w:type="dxa"/>
            <w:vMerge/>
            <w:vAlign w:val="center"/>
          </w:tcPr>
          <w:p w14:paraId="00000094" w14:textId="77777777" w:rsidR="00053842" w:rsidRDefault="00053842">
            <w:pPr>
              <w:widowControl w:val="0"/>
              <w:rPr>
                <w:rFonts w:ascii="Quicksand" w:eastAsia="Quicksand" w:hAnsi="Quicksand" w:cs="Quicksand"/>
                <w:sz w:val="18"/>
                <w:szCs w:val="18"/>
              </w:rPr>
            </w:pPr>
          </w:p>
        </w:tc>
        <w:tc>
          <w:tcPr>
            <w:tcW w:w="1271" w:type="dxa"/>
          </w:tcPr>
          <w:p w14:paraId="00000095" w14:textId="77777777" w:rsidR="00053842" w:rsidRDefault="00CC2250">
            <w:pPr>
              <w:jc w:val="both"/>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Tucandira</w:t>
            </w:r>
          </w:p>
        </w:tc>
        <w:tc>
          <w:tcPr>
            <w:tcW w:w="1134" w:type="dxa"/>
          </w:tcPr>
          <w:p w14:paraId="00000096"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68</w:t>
            </w:r>
          </w:p>
        </w:tc>
        <w:tc>
          <w:tcPr>
            <w:tcW w:w="1134" w:type="dxa"/>
          </w:tcPr>
          <w:p w14:paraId="00000097"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15</w:t>
            </w:r>
          </w:p>
        </w:tc>
        <w:tc>
          <w:tcPr>
            <w:tcW w:w="938" w:type="dxa"/>
          </w:tcPr>
          <w:p w14:paraId="00000098"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15</w:t>
            </w:r>
          </w:p>
        </w:tc>
        <w:tc>
          <w:tcPr>
            <w:tcW w:w="904" w:type="dxa"/>
          </w:tcPr>
          <w:p w14:paraId="00000099"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100,0%</w:t>
            </w:r>
          </w:p>
        </w:tc>
        <w:tc>
          <w:tcPr>
            <w:tcW w:w="1418" w:type="dxa"/>
          </w:tcPr>
          <w:p w14:paraId="0000009A"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12</w:t>
            </w:r>
          </w:p>
        </w:tc>
        <w:tc>
          <w:tcPr>
            <w:tcW w:w="850" w:type="dxa"/>
          </w:tcPr>
          <w:p w14:paraId="0000009B"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12</w:t>
            </w:r>
          </w:p>
        </w:tc>
        <w:tc>
          <w:tcPr>
            <w:tcW w:w="851" w:type="dxa"/>
          </w:tcPr>
          <w:p w14:paraId="0000009C"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100,0%</w:t>
            </w:r>
          </w:p>
        </w:tc>
      </w:tr>
      <w:tr w:rsidR="00053842" w14:paraId="49B778EB" w14:textId="77777777" w:rsidTr="0005384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82" w:type="dxa"/>
            <w:vMerge w:val="restart"/>
            <w:vAlign w:val="center"/>
          </w:tcPr>
          <w:p w14:paraId="0000009D" w14:textId="77777777" w:rsidR="00053842" w:rsidRDefault="00CC2250">
            <w:pPr>
              <w:rPr>
                <w:rFonts w:ascii="Quicksand" w:eastAsia="Quicksand" w:hAnsi="Quicksand" w:cs="Quicksand"/>
                <w:sz w:val="18"/>
                <w:szCs w:val="18"/>
              </w:rPr>
            </w:pPr>
            <w:r>
              <w:rPr>
                <w:rFonts w:ascii="Quicksand" w:eastAsia="Quicksand" w:hAnsi="Quicksand" w:cs="Quicksand"/>
                <w:sz w:val="18"/>
                <w:szCs w:val="18"/>
              </w:rPr>
              <w:t>Pueblo Nuevo</w:t>
            </w:r>
          </w:p>
        </w:tc>
        <w:tc>
          <w:tcPr>
            <w:tcW w:w="1271" w:type="dxa"/>
          </w:tcPr>
          <w:p w14:paraId="0000009E" w14:textId="77777777" w:rsidR="00053842" w:rsidRDefault="00CC2250">
            <w:pPr>
              <w:jc w:val="both"/>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Yararaca</w:t>
            </w:r>
          </w:p>
        </w:tc>
        <w:tc>
          <w:tcPr>
            <w:tcW w:w="1134" w:type="dxa"/>
          </w:tcPr>
          <w:p w14:paraId="0000009F"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67</w:t>
            </w:r>
          </w:p>
        </w:tc>
        <w:tc>
          <w:tcPr>
            <w:tcW w:w="1134" w:type="dxa"/>
          </w:tcPr>
          <w:p w14:paraId="000000A0"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19</w:t>
            </w:r>
          </w:p>
        </w:tc>
        <w:tc>
          <w:tcPr>
            <w:tcW w:w="938" w:type="dxa"/>
          </w:tcPr>
          <w:p w14:paraId="000000A1"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19</w:t>
            </w:r>
          </w:p>
        </w:tc>
        <w:tc>
          <w:tcPr>
            <w:tcW w:w="904" w:type="dxa"/>
          </w:tcPr>
          <w:p w14:paraId="000000A2"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100,0%</w:t>
            </w:r>
          </w:p>
        </w:tc>
        <w:tc>
          <w:tcPr>
            <w:tcW w:w="1418" w:type="dxa"/>
          </w:tcPr>
          <w:p w14:paraId="000000A3"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18</w:t>
            </w:r>
          </w:p>
        </w:tc>
        <w:tc>
          <w:tcPr>
            <w:tcW w:w="850" w:type="dxa"/>
          </w:tcPr>
          <w:p w14:paraId="000000A4"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14</w:t>
            </w:r>
          </w:p>
        </w:tc>
        <w:tc>
          <w:tcPr>
            <w:tcW w:w="851" w:type="dxa"/>
          </w:tcPr>
          <w:p w14:paraId="000000A5"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77,8%</w:t>
            </w:r>
          </w:p>
        </w:tc>
      </w:tr>
      <w:tr w:rsidR="00053842" w14:paraId="1EA6A3AB" w14:textId="77777777" w:rsidTr="00053842">
        <w:trPr>
          <w:trHeight w:val="255"/>
        </w:trPr>
        <w:tc>
          <w:tcPr>
            <w:cnfStyle w:val="001000000000" w:firstRow="0" w:lastRow="0" w:firstColumn="1" w:lastColumn="0" w:oddVBand="0" w:evenVBand="0" w:oddHBand="0" w:evenHBand="0" w:firstRowFirstColumn="0" w:firstRowLastColumn="0" w:lastRowFirstColumn="0" w:lastRowLastColumn="0"/>
            <w:tcW w:w="1282" w:type="dxa"/>
            <w:vMerge/>
            <w:vAlign w:val="center"/>
          </w:tcPr>
          <w:p w14:paraId="000000A6" w14:textId="77777777" w:rsidR="00053842" w:rsidRDefault="00053842">
            <w:pPr>
              <w:widowControl w:val="0"/>
              <w:rPr>
                <w:rFonts w:ascii="Quicksand" w:eastAsia="Quicksand" w:hAnsi="Quicksand" w:cs="Quicksand"/>
                <w:sz w:val="18"/>
                <w:szCs w:val="18"/>
              </w:rPr>
            </w:pPr>
          </w:p>
        </w:tc>
        <w:tc>
          <w:tcPr>
            <w:tcW w:w="1271" w:type="dxa"/>
          </w:tcPr>
          <w:p w14:paraId="000000A7" w14:textId="77777777" w:rsidR="00053842" w:rsidRDefault="00CC2250">
            <w:pPr>
              <w:jc w:val="both"/>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Pueblo Nuevo</w:t>
            </w:r>
          </w:p>
        </w:tc>
        <w:tc>
          <w:tcPr>
            <w:tcW w:w="1134" w:type="dxa"/>
          </w:tcPr>
          <w:p w14:paraId="000000A8"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144</w:t>
            </w:r>
          </w:p>
        </w:tc>
        <w:tc>
          <w:tcPr>
            <w:tcW w:w="1134" w:type="dxa"/>
          </w:tcPr>
          <w:p w14:paraId="000000A9"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33</w:t>
            </w:r>
          </w:p>
        </w:tc>
        <w:tc>
          <w:tcPr>
            <w:tcW w:w="938" w:type="dxa"/>
          </w:tcPr>
          <w:p w14:paraId="000000AA"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30</w:t>
            </w:r>
          </w:p>
        </w:tc>
        <w:tc>
          <w:tcPr>
            <w:tcW w:w="904" w:type="dxa"/>
          </w:tcPr>
          <w:p w14:paraId="000000AB"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90,9%</w:t>
            </w:r>
          </w:p>
        </w:tc>
        <w:tc>
          <w:tcPr>
            <w:tcW w:w="1418" w:type="dxa"/>
          </w:tcPr>
          <w:p w14:paraId="000000AC"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28</w:t>
            </w:r>
          </w:p>
        </w:tc>
        <w:tc>
          <w:tcPr>
            <w:tcW w:w="850" w:type="dxa"/>
          </w:tcPr>
          <w:p w14:paraId="000000AD"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19</w:t>
            </w:r>
          </w:p>
        </w:tc>
        <w:tc>
          <w:tcPr>
            <w:tcW w:w="851" w:type="dxa"/>
          </w:tcPr>
          <w:p w14:paraId="000000AE"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67,9%</w:t>
            </w:r>
          </w:p>
        </w:tc>
      </w:tr>
      <w:tr w:rsidR="00053842" w14:paraId="79E197DB" w14:textId="77777777" w:rsidTr="0005384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82" w:type="dxa"/>
            <w:vMerge/>
            <w:vAlign w:val="center"/>
          </w:tcPr>
          <w:p w14:paraId="000000AF" w14:textId="77777777" w:rsidR="00053842" w:rsidRDefault="00053842">
            <w:pPr>
              <w:widowControl w:val="0"/>
              <w:rPr>
                <w:rFonts w:ascii="Quicksand" w:eastAsia="Quicksand" w:hAnsi="Quicksand" w:cs="Quicksand"/>
                <w:sz w:val="18"/>
                <w:szCs w:val="18"/>
              </w:rPr>
            </w:pPr>
          </w:p>
        </w:tc>
        <w:tc>
          <w:tcPr>
            <w:tcW w:w="1271" w:type="dxa"/>
          </w:tcPr>
          <w:p w14:paraId="000000B0" w14:textId="77777777" w:rsidR="00053842" w:rsidRDefault="00CC2250">
            <w:pPr>
              <w:jc w:val="both"/>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Macayucá</w:t>
            </w:r>
          </w:p>
        </w:tc>
        <w:tc>
          <w:tcPr>
            <w:tcW w:w="1134" w:type="dxa"/>
          </w:tcPr>
          <w:p w14:paraId="000000B1"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54</w:t>
            </w:r>
          </w:p>
        </w:tc>
        <w:tc>
          <w:tcPr>
            <w:tcW w:w="1134" w:type="dxa"/>
          </w:tcPr>
          <w:p w14:paraId="000000B2"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20</w:t>
            </w:r>
          </w:p>
        </w:tc>
        <w:tc>
          <w:tcPr>
            <w:tcW w:w="938" w:type="dxa"/>
          </w:tcPr>
          <w:p w14:paraId="000000B3"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15</w:t>
            </w:r>
          </w:p>
        </w:tc>
        <w:tc>
          <w:tcPr>
            <w:tcW w:w="904" w:type="dxa"/>
          </w:tcPr>
          <w:p w14:paraId="000000B4"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75,0%</w:t>
            </w:r>
          </w:p>
        </w:tc>
        <w:tc>
          <w:tcPr>
            <w:tcW w:w="1418" w:type="dxa"/>
          </w:tcPr>
          <w:p w14:paraId="000000B5"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15</w:t>
            </w:r>
          </w:p>
        </w:tc>
        <w:tc>
          <w:tcPr>
            <w:tcW w:w="850" w:type="dxa"/>
          </w:tcPr>
          <w:p w14:paraId="000000B6"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9</w:t>
            </w:r>
          </w:p>
        </w:tc>
        <w:tc>
          <w:tcPr>
            <w:tcW w:w="851" w:type="dxa"/>
          </w:tcPr>
          <w:p w14:paraId="000000B7"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60,0%</w:t>
            </w:r>
          </w:p>
        </w:tc>
      </w:tr>
      <w:tr w:rsidR="00053842" w14:paraId="5E8BAA5D" w14:textId="77777777" w:rsidTr="00053842">
        <w:trPr>
          <w:trHeight w:val="255"/>
        </w:trPr>
        <w:tc>
          <w:tcPr>
            <w:cnfStyle w:val="001000000000" w:firstRow="0" w:lastRow="0" w:firstColumn="1" w:lastColumn="0" w:oddVBand="0" w:evenVBand="0" w:oddHBand="0" w:evenHBand="0" w:firstRowFirstColumn="0" w:firstRowLastColumn="0" w:lastRowFirstColumn="0" w:lastRowLastColumn="0"/>
            <w:tcW w:w="1282" w:type="dxa"/>
            <w:vMerge/>
            <w:vAlign w:val="center"/>
          </w:tcPr>
          <w:p w14:paraId="000000B8" w14:textId="77777777" w:rsidR="00053842" w:rsidRDefault="00053842">
            <w:pPr>
              <w:widowControl w:val="0"/>
              <w:rPr>
                <w:rFonts w:ascii="Quicksand" w:eastAsia="Quicksand" w:hAnsi="Quicksand" w:cs="Quicksand"/>
                <w:sz w:val="18"/>
                <w:szCs w:val="18"/>
              </w:rPr>
            </w:pPr>
          </w:p>
        </w:tc>
        <w:tc>
          <w:tcPr>
            <w:tcW w:w="1271" w:type="dxa"/>
          </w:tcPr>
          <w:p w14:paraId="000000B9" w14:textId="77777777" w:rsidR="00053842" w:rsidRDefault="00CC2250">
            <w:pPr>
              <w:jc w:val="both"/>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Ceima San Pablo</w:t>
            </w:r>
          </w:p>
        </w:tc>
        <w:tc>
          <w:tcPr>
            <w:tcW w:w="1134" w:type="dxa"/>
          </w:tcPr>
          <w:p w14:paraId="000000BA"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45</w:t>
            </w:r>
          </w:p>
        </w:tc>
        <w:tc>
          <w:tcPr>
            <w:tcW w:w="1134" w:type="dxa"/>
          </w:tcPr>
          <w:p w14:paraId="000000BB"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13</w:t>
            </w:r>
          </w:p>
        </w:tc>
        <w:tc>
          <w:tcPr>
            <w:tcW w:w="938" w:type="dxa"/>
          </w:tcPr>
          <w:p w14:paraId="000000BC"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12</w:t>
            </w:r>
          </w:p>
        </w:tc>
        <w:tc>
          <w:tcPr>
            <w:tcW w:w="904" w:type="dxa"/>
          </w:tcPr>
          <w:p w14:paraId="000000BD"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92,3%</w:t>
            </w:r>
          </w:p>
        </w:tc>
        <w:tc>
          <w:tcPr>
            <w:tcW w:w="1418" w:type="dxa"/>
          </w:tcPr>
          <w:p w14:paraId="000000BE"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12</w:t>
            </w:r>
          </w:p>
        </w:tc>
        <w:tc>
          <w:tcPr>
            <w:tcW w:w="850" w:type="dxa"/>
          </w:tcPr>
          <w:p w14:paraId="000000BF"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5</w:t>
            </w:r>
          </w:p>
        </w:tc>
        <w:tc>
          <w:tcPr>
            <w:tcW w:w="851" w:type="dxa"/>
          </w:tcPr>
          <w:p w14:paraId="000000C0"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41,7%</w:t>
            </w:r>
          </w:p>
        </w:tc>
      </w:tr>
      <w:tr w:rsidR="00053842" w14:paraId="2F138ABA" w14:textId="77777777" w:rsidTr="0005384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82" w:type="dxa"/>
            <w:vMerge/>
            <w:vAlign w:val="center"/>
          </w:tcPr>
          <w:p w14:paraId="000000C1" w14:textId="77777777" w:rsidR="00053842" w:rsidRDefault="00053842">
            <w:pPr>
              <w:widowControl w:val="0"/>
              <w:rPr>
                <w:rFonts w:ascii="Quicksand" w:eastAsia="Quicksand" w:hAnsi="Quicksand" w:cs="Quicksand"/>
                <w:sz w:val="18"/>
                <w:szCs w:val="18"/>
              </w:rPr>
            </w:pPr>
          </w:p>
        </w:tc>
        <w:tc>
          <w:tcPr>
            <w:tcW w:w="1271" w:type="dxa"/>
          </w:tcPr>
          <w:p w14:paraId="000000C2" w14:textId="77777777" w:rsidR="00053842" w:rsidRDefault="00CC2250">
            <w:pPr>
              <w:jc w:val="both"/>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Ceima Cachivera</w:t>
            </w:r>
          </w:p>
        </w:tc>
        <w:tc>
          <w:tcPr>
            <w:tcW w:w="1134" w:type="dxa"/>
          </w:tcPr>
          <w:p w14:paraId="000000C3"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85</w:t>
            </w:r>
          </w:p>
        </w:tc>
        <w:tc>
          <w:tcPr>
            <w:tcW w:w="1134" w:type="dxa"/>
          </w:tcPr>
          <w:p w14:paraId="000000C4"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23</w:t>
            </w:r>
          </w:p>
        </w:tc>
        <w:tc>
          <w:tcPr>
            <w:tcW w:w="938" w:type="dxa"/>
          </w:tcPr>
          <w:p w14:paraId="000000C5"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22</w:t>
            </w:r>
          </w:p>
        </w:tc>
        <w:tc>
          <w:tcPr>
            <w:tcW w:w="904" w:type="dxa"/>
          </w:tcPr>
          <w:p w14:paraId="000000C6"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95,7%</w:t>
            </w:r>
          </w:p>
        </w:tc>
        <w:tc>
          <w:tcPr>
            <w:tcW w:w="1418" w:type="dxa"/>
          </w:tcPr>
          <w:p w14:paraId="000000C7"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23</w:t>
            </w:r>
          </w:p>
        </w:tc>
        <w:tc>
          <w:tcPr>
            <w:tcW w:w="850" w:type="dxa"/>
          </w:tcPr>
          <w:p w14:paraId="000000C8"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10</w:t>
            </w:r>
          </w:p>
        </w:tc>
        <w:tc>
          <w:tcPr>
            <w:tcW w:w="851" w:type="dxa"/>
          </w:tcPr>
          <w:p w14:paraId="000000C9"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43,5%</w:t>
            </w:r>
          </w:p>
        </w:tc>
      </w:tr>
      <w:tr w:rsidR="00053842" w14:paraId="1BBDCC5A" w14:textId="77777777" w:rsidTr="00053842">
        <w:trPr>
          <w:trHeight w:val="255"/>
        </w:trPr>
        <w:tc>
          <w:tcPr>
            <w:cnfStyle w:val="001000000000" w:firstRow="0" w:lastRow="0" w:firstColumn="1" w:lastColumn="0" w:oddVBand="0" w:evenVBand="0" w:oddHBand="0" w:evenHBand="0" w:firstRowFirstColumn="0" w:firstRowLastColumn="0" w:lastRowFirstColumn="0" w:lastRowLastColumn="0"/>
            <w:tcW w:w="1282" w:type="dxa"/>
            <w:vMerge w:val="restart"/>
            <w:vAlign w:val="center"/>
          </w:tcPr>
          <w:p w14:paraId="000000CA" w14:textId="77777777" w:rsidR="00053842" w:rsidRDefault="00CC2250">
            <w:pPr>
              <w:rPr>
                <w:rFonts w:ascii="Quicksand" w:eastAsia="Quicksand" w:hAnsi="Quicksand" w:cs="Quicksand"/>
                <w:sz w:val="18"/>
                <w:szCs w:val="18"/>
              </w:rPr>
            </w:pPr>
            <w:r>
              <w:rPr>
                <w:rFonts w:ascii="Quicksand" w:eastAsia="Quicksand" w:hAnsi="Quicksand" w:cs="Quicksand"/>
                <w:sz w:val="18"/>
                <w:szCs w:val="18"/>
              </w:rPr>
              <w:t>Santa Marta</w:t>
            </w:r>
          </w:p>
        </w:tc>
        <w:tc>
          <w:tcPr>
            <w:tcW w:w="1271" w:type="dxa"/>
          </w:tcPr>
          <w:p w14:paraId="000000CB" w14:textId="77777777" w:rsidR="00053842" w:rsidRDefault="00CC2250">
            <w:pPr>
              <w:jc w:val="both"/>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Mituseño</w:t>
            </w:r>
          </w:p>
        </w:tc>
        <w:tc>
          <w:tcPr>
            <w:tcW w:w="1134" w:type="dxa"/>
          </w:tcPr>
          <w:p w14:paraId="000000CC"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121</w:t>
            </w:r>
          </w:p>
        </w:tc>
        <w:tc>
          <w:tcPr>
            <w:tcW w:w="1134" w:type="dxa"/>
          </w:tcPr>
          <w:p w14:paraId="000000CD"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31</w:t>
            </w:r>
          </w:p>
        </w:tc>
        <w:tc>
          <w:tcPr>
            <w:tcW w:w="938" w:type="dxa"/>
          </w:tcPr>
          <w:p w14:paraId="000000CE"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26</w:t>
            </w:r>
          </w:p>
        </w:tc>
        <w:tc>
          <w:tcPr>
            <w:tcW w:w="904" w:type="dxa"/>
          </w:tcPr>
          <w:p w14:paraId="000000CF"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83,9%</w:t>
            </w:r>
          </w:p>
        </w:tc>
        <w:tc>
          <w:tcPr>
            <w:tcW w:w="1418" w:type="dxa"/>
          </w:tcPr>
          <w:p w14:paraId="000000D0"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26</w:t>
            </w:r>
          </w:p>
        </w:tc>
        <w:tc>
          <w:tcPr>
            <w:tcW w:w="850" w:type="dxa"/>
          </w:tcPr>
          <w:p w14:paraId="000000D1"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25</w:t>
            </w:r>
          </w:p>
        </w:tc>
        <w:tc>
          <w:tcPr>
            <w:tcW w:w="851" w:type="dxa"/>
          </w:tcPr>
          <w:p w14:paraId="000000D2"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96,2%</w:t>
            </w:r>
          </w:p>
        </w:tc>
      </w:tr>
      <w:tr w:rsidR="00053842" w14:paraId="5B5556CF" w14:textId="77777777" w:rsidTr="0005384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82" w:type="dxa"/>
            <w:vMerge/>
            <w:vAlign w:val="center"/>
          </w:tcPr>
          <w:p w14:paraId="000000D3" w14:textId="77777777" w:rsidR="00053842" w:rsidRDefault="00053842">
            <w:pPr>
              <w:widowControl w:val="0"/>
              <w:rPr>
                <w:rFonts w:ascii="Quicksand" w:eastAsia="Quicksand" w:hAnsi="Quicksand" w:cs="Quicksand"/>
                <w:sz w:val="18"/>
                <w:szCs w:val="18"/>
              </w:rPr>
            </w:pPr>
          </w:p>
        </w:tc>
        <w:tc>
          <w:tcPr>
            <w:tcW w:w="1271" w:type="dxa"/>
          </w:tcPr>
          <w:p w14:paraId="000000D4" w14:textId="77777777" w:rsidR="00053842" w:rsidRDefault="00CC2250">
            <w:pPr>
              <w:jc w:val="both"/>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Santa Marta</w:t>
            </w:r>
          </w:p>
        </w:tc>
        <w:tc>
          <w:tcPr>
            <w:tcW w:w="1134" w:type="dxa"/>
          </w:tcPr>
          <w:p w14:paraId="000000D5"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162</w:t>
            </w:r>
          </w:p>
        </w:tc>
        <w:tc>
          <w:tcPr>
            <w:tcW w:w="1134" w:type="dxa"/>
          </w:tcPr>
          <w:p w14:paraId="000000D6"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37</w:t>
            </w:r>
          </w:p>
        </w:tc>
        <w:tc>
          <w:tcPr>
            <w:tcW w:w="938" w:type="dxa"/>
          </w:tcPr>
          <w:p w14:paraId="000000D7"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34</w:t>
            </w:r>
          </w:p>
        </w:tc>
        <w:tc>
          <w:tcPr>
            <w:tcW w:w="904" w:type="dxa"/>
          </w:tcPr>
          <w:p w14:paraId="000000D8"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91,9%</w:t>
            </w:r>
          </w:p>
        </w:tc>
        <w:tc>
          <w:tcPr>
            <w:tcW w:w="1418" w:type="dxa"/>
          </w:tcPr>
          <w:p w14:paraId="000000D9"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35</w:t>
            </w:r>
          </w:p>
        </w:tc>
        <w:tc>
          <w:tcPr>
            <w:tcW w:w="850" w:type="dxa"/>
          </w:tcPr>
          <w:p w14:paraId="000000DA"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29</w:t>
            </w:r>
          </w:p>
        </w:tc>
        <w:tc>
          <w:tcPr>
            <w:tcW w:w="851" w:type="dxa"/>
          </w:tcPr>
          <w:p w14:paraId="000000DB"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82,9%</w:t>
            </w:r>
          </w:p>
        </w:tc>
      </w:tr>
      <w:tr w:rsidR="00053842" w14:paraId="73F0334A" w14:textId="77777777" w:rsidTr="00053842">
        <w:trPr>
          <w:trHeight w:val="255"/>
        </w:trPr>
        <w:tc>
          <w:tcPr>
            <w:cnfStyle w:val="001000000000" w:firstRow="0" w:lastRow="0" w:firstColumn="1" w:lastColumn="0" w:oddVBand="0" w:evenVBand="0" w:oddHBand="0" w:evenHBand="0" w:firstRowFirstColumn="0" w:firstRowLastColumn="0" w:lastRowFirstColumn="0" w:lastRowLastColumn="0"/>
            <w:tcW w:w="1282" w:type="dxa"/>
            <w:vMerge/>
            <w:vAlign w:val="center"/>
          </w:tcPr>
          <w:p w14:paraId="000000DC" w14:textId="77777777" w:rsidR="00053842" w:rsidRDefault="00053842">
            <w:pPr>
              <w:widowControl w:val="0"/>
              <w:rPr>
                <w:rFonts w:ascii="Quicksand" w:eastAsia="Quicksand" w:hAnsi="Quicksand" w:cs="Quicksand"/>
                <w:sz w:val="18"/>
                <w:szCs w:val="18"/>
              </w:rPr>
            </w:pPr>
          </w:p>
        </w:tc>
        <w:tc>
          <w:tcPr>
            <w:tcW w:w="1271" w:type="dxa"/>
          </w:tcPr>
          <w:p w14:paraId="000000DD" w14:textId="77777777" w:rsidR="00053842" w:rsidRDefault="00CC2250">
            <w:pPr>
              <w:jc w:val="both"/>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Puerto Golondrina</w:t>
            </w:r>
          </w:p>
        </w:tc>
        <w:tc>
          <w:tcPr>
            <w:tcW w:w="1134" w:type="dxa"/>
          </w:tcPr>
          <w:p w14:paraId="000000DE"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61</w:t>
            </w:r>
          </w:p>
        </w:tc>
        <w:tc>
          <w:tcPr>
            <w:tcW w:w="1134" w:type="dxa"/>
          </w:tcPr>
          <w:p w14:paraId="000000DF"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21</w:t>
            </w:r>
          </w:p>
        </w:tc>
        <w:tc>
          <w:tcPr>
            <w:tcW w:w="938" w:type="dxa"/>
          </w:tcPr>
          <w:p w14:paraId="000000E0"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15</w:t>
            </w:r>
          </w:p>
        </w:tc>
        <w:tc>
          <w:tcPr>
            <w:tcW w:w="904" w:type="dxa"/>
          </w:tcPr>
          <w:p w14:paraId="000000E1"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71,4%</w:t>
            </w:r>
          </w:p>
        </w:tc>
        <w:tc>
          <w:tcPr>
            <w:tcW w:w="1418" w:type="dxa"/>
          </w:tcPr>
          <w:p w14:paraId="000000E2"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16</w:t>
            </w:r>
          </w:p>
        </w:tc>
        <w:tc>
          <w:tcPr>
            <w:tcW w:w="850" w:type="dxa"/>
          </w:tcPr>
          <w:p w14:paraId="000000E3"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14</w:t>
            </w:r>
          </w:p>
        </w:tc>
        <w:tc>
          <w:tcPr>
            <w:tcW w:w="851" w:type="dxa"/>
          </w:tcPr>
          <w:p w14:paraId="000000E4"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87,5%</w:t>
            </w:r>
          </w:p>
        </w:tc>
      </w:tr>
      <w:tr w:rsidR="00053842" w14:paraId="60EC93E5" w14:textId="77777777" w:rsidTr="0005384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82" w:type="dxa"/>
            <w:vMerge/>
            <w:vAlign w:val="center"/>
          </w:tcPr>
          <w:p w14:paraId="000000E5" w14:textId="77777777" w:rsidR="00053842" w:rsidRDefault="00053842">
            <w:pPr>
              <w:widowControl w:val="0"/>
              <w:rPr>
                <w:rFonts w:ascii="Quicksand" w:eastAsia="Quicksand" w:hAnsi="Quicksand" w:cs="Quicksand"/>
                <w:sz w:val="18"/>
                <w:szCs w:val="18"/>
              </w:rPr>
            </w:pPr>
          </w:p>
        </w:tc>
        <w:tc>
          <w:tcPr>
            <w:tcW w:w="1271" w:type="dxa"/>
          </w:tcPr>
          <w:p w14:paraId="000000E6" w14:textId="77777777" w:rsidR="00053842" w:rsidRDefault="00CC2250">
            <w:pPr>
              <w:jc w:val="both"/>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Garrafa</w:t>
            </w:r>
          </w:p>
        </w:tc>
        <w:tc>
          <w:tcPr>
            <w:tcW w:w="1134" w:type="dxa"/>
          </w:tcPr>
          <w:p w14:paraId="000000E7"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92</w:t>
            </w:r>
          </w:p>
        </w:tc>
        <w:tc>
          <w:tcPr>
            <w:tcW w:w="1134" w:type="dxa"/>
          </w:tcPr>
          <w:p w14:paraId="000000E8"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19</w:t>
            </w:r>
          </w:p>
        </w:tc>
        <w:tc>
          <w:tcPr>
            <w:tcW w:w="938" w:type="dxa"/>
          </w:tcPr>
          <w:p w14:paraId="000000E9"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19</w:t>
            </w:r>
          </w:p>
        </w:tc>
        <w:tc>
          <w:tcPr>
            <w:tcW w:w="904" w:type="dxa"/>
          </w:tcPr>
          <w:p w14:paraId="000000EA"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100,0%</w:t>
            </w:r>
          </w:p>
        </w:tc>
        <w:tc>
          <w:tcPr>
            <w:tcW w:w="1418" w:type="dxa"/>
          </w:tcPr>
          <w:p w14:paraId="000000EB"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19</w:t>
            </w:r>
          </w:p>
        </w:tc>
        <w:tc>
          <w:tcPr>
            <w:tcW w:w="850" w:type="dxa"/>
          </w:tcPr>
          <w:p w14:paraId="000000EC"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17</w:t>
            </w:r>
          </w:p>
        </w:tc>
        <w:tc>
          <w:tcPr>
            <w:tcW w:w="851" w:type="dxa"/>
          </w:tcPr>
          <w:p w14:paraId="000000ED"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89,5%</w:t>
            </w:r>
          </w:p>
        </w:tc>
      </w:tr>
      <w:tr w:rsidR="00053842" w14:paraId="6EF29553" w14:textId="77777777" w:rsidTr="00053842">
        <w:trPr>
          <w:trHeight w:val="270"/>
        </w:trPr>
        <w:tc>
          <w:tcPr>
            <w:cnfStyle w:val="001000000000" w:firstRow="0" w:lastRow="0" w:firstColumn="1" w:lastColumn="0" w:oddVBand="0" w:evenVBand="0" w:oddHBand="0" w:evenHBand="0" w:firstRowFirstColumn="0" w:firstRowLastColumn="0" w:lastRowFirstColumn="0" w:lastRowLastColumn="0"/>
            <w:tcW w:w="1282" w:type="dxa"/>
            <w:vMerge/>
            <w:vAlign w:val="center"/>
          </w:tcPr>
          <w:p w14:paraId="000000EE" w14:textId="77777777" w:rsidR="00053842" w:rsidRDefault="00053842">
            <w:pPr>
              <w:widowControl w:val="0"/>
              <w:rPr>
                <w:rFonts w:ascii="Quicksand" w:eastAsia="Quicksand" w:hAnsi="Quicksand" w:cs="Quicksand"/>
                <w:sz w:val="18"/>
                <w:szCs w:val="18"/>
              </w:rPr>
            </w:pPr>
          </w:p>
        </w:tc>
        <w:tc>
          <w:tcPr>
            <w:tcW w:w="1271" w:type="dxa"/>
          </w:tcPr>
          <w:p w14:paraId="000000EF" w14:textId="77777777" w:rsidR="00053842" w:rsidRDefault="00CC2250">
            <w:pPr>
              <w:jc w:val="both"/>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Puerto López</w:t>
            </w:r>
          </w:p>
        </w:tc>
        <w:tc>
          <w:tcPr>
            <w:tcW w:w="1134" w:type="dxa"/>
          </w:tcPr>
          <w:p w14:paraId="000000F0"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96</w:t>
            </w:r>
          </w:p>
        </w:tc>
        <w:tc>
          <w:tcPr>
            <w:tcW w:w="1134" w:type="dxa"/>
          </w:tcPr>
          <w:p w14:paraId="000000F1"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26</w:t>
            </w:r>
          </w:p>
        </w:tc>
        <w:tc>
          <w:tcPr>
            <w:tcW w:w="938" w:type="dxa"/>
          </w:tcPr>
          <w:p w14:paraId="000000F2"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15</w:t>
            </w:r>
          </w:p>
        </w:tc>
        <w:tc>
          <w:tcPr>
            <w:tcW w:w="904" w:type="dxa"/>
          </w:tcPr>
          <w:p w14:paraId="000000F3"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57,7%</w:t>
            </w:r>
          </w:p>
        </w:tc>
        <w:tc>
          <w:tcPr>
            <w:tcW w:w="1418" w:type="dxa"/>
          </w:tcPr>
          <w:p w14:paraId="000000F4"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15</w:t>
            </w:r>
          </w:p>
        </w:tc>
        <w:tc>
          <w:tcPr>
            <w:tcW w:w="850" w:type="dxa"/>
          </w:tcPr>
          <w:p w14:paraId="000000F5"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11</w:t>
            </w:r>
          </w:p>
        </w:tc>
        <w:tc>
          <w:tcPr>
            <w:tcW w:w="851" w:type="dxa"/>
          </w:tcPr>
          <w:p w14:paraId="000000F6"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73,3%</w:t>
            </w:r>
          </w:p>
        </w:tc>
      </w:tr>
      <w:tr w:rsidR="00053842" w14:paraId="6B5788E3" w14:textId="77777777" w:rsidTr="0005384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82" w:type="dxa"/>
            <w:vMerge w:val="restart"/>
            <w:vAlign w:val="center"/>
          </w:tcPr>
          <w:p w14:paraId="000000F7" w14:textId="77777777" w:rsidR="00053842" w:rsidRDefault="00CC2250">
            <w:pPr>
              <w:rPr>
                <w:rFonts w:ascii="Quicksand" w:eastAsia="Quicksand" w:hAnsi="Quicksand" w:cs="Quicksand"/>
                <w:sz w:val="18"/>
                <w:szCs w:val="18"/>
              </w:rPr>
            </w:pPr>
            <w:r>
              <w:rPr>
                <w:rFonts w:ascii="Quicksand" w:eastAsia="Quicksand" w:hAnsi="Quicksand" w:cs="Quicksand"/>
                <w:sz w:val="18"/>
                <w:szCs w:val="18"/>
              </w:rPr>
              <w:t>Macaquiño</w:t>
            </w:r>
          </w:p>
        </w:tc>
        <w:tc>
          <w:tcPr>
            <w:tcW w:w="1271" w:type="dxa"/>
          </w:tcPr>
          <w:p w14:paraId="000000F8" w14:textId="77777777" w:rsidR="00053842" w:rsidRDefault="00CC2250">
            <w:pPr>
              <w:jc w:val="both"/>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Tucunaré</w:t>
            </w:r>
          </w:p>
        </w:tc>
        <w:tc>
          <w:tcPr>
            <w:tcW w:w="1134" w:type="dxa"/>
          </w:tcPr>
          <w:p w14:paraId="000000F9"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142</w:t>
            </w:r>
          </w:p>
        </w:tc>
        <w:tc>
          <w:tcPr>
            <w:tcW w:w="1134" w:type="dxa"/>
          </w:tcPr>
          <w:p w14:paraId="000000FA"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36</w:t>
            </w:r>
          </w:p>
        </w:tc>
        <w:tc>
          <w:tcPr>
            <w:tcW w:w="938" w:type="dxa"/>
          </w:tcPr>
          <w:p w14:paraId="000000FB"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29</w:t>
            </w:r>
          </w:p>
        </w:tc>
        <w:tc>
          <w:tcPr>
            <w:tcW w:w="904" w:type="dxa"/>
          </w:tcPr>
          <w:p w14:paraId="000000FC"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80,6%</w:t>
            </w:r>
          </w:p>
        </w:tc>
        <w:tc>
          <w:tcPr>
            <w:tcW w:w="1418" w:type="dxa"/>
          </w:tcPr>
          <w:p w14:paraId="000000FD"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29</w:t>
            </w:r>
          </w:p>
        </w:tc>
        <w:tc>
          <w:tcPr>
            <w:tcW w:w="850" w:type="dxa"/>
          </w:tcPr>
          <w:p w14:paraId="000000FE"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15</w:t>
            </w:r>
          </w:p>
        </w:tc>
        <w:tc>
          <w:tcPr>
            <w:tcW w:w="851" w:type="dxa"/>
          </w:tcPr>
          <w:p w14:paraId="000000FF"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51,7%</w:t>
            </w:r>
          </w:p>
        </w:tc>
      </w:tr>
      <w:tr w:rsidR="00053842" w14:paraId="182B507F" w14:textId="77777777" w:rsidTr="00053842">
        <w:trPr>
          <w:trHeight w:val="255"/>
        </w:trPr>
        <w:tc>
          <w:tcPr>
            <w:cnfStyle w:val="001000000000" w:firstRow="0" w:lastRow="0" w:firstColumn="1" w:lastColumn="0" w:oddVBand="0" w:evenVBand="0" w:oddHBand="0" w:evenHBand="0" w:firstRowFirstColumn="0" w:firstRowLastColumn="0" w:lastRowFirstColumn="0" w:lastRowLastColumn="0"/>
            <w:tcW w:w="1282" w:type="dxa"/>
            <w:vMerge/>
            <w:vAlign w:val="center"/>
          </w:tcPr>
          <w:p w14:paraId="00000100" w14:textId="77777777" w:rsidR="00053842" w:rsidRDefault="00053842">
            <w:pPr>
              <w:widowControl w:val="0"/>
              <w:rPr>
                <w:rFonts w:ascii="Quicksand" w:eastAsia="Quicksand" w:hAnsi="Quicksand" w:cs="Quicksand"/>
                <w:sz w:val="18"/>
                <w:szCs w:val="18"/>
              </w:rPr>
            </w:pPr>
          </w:p>
        </w:tc>
        <w:tc>
          <w:tcPr>
            <w:tcW w:w="1271" w:type="dxa"/>
          </w:tcPr>
          <w:p w14:paraId="00000101" w14:textId="77777777" w:rsidR="00053842" w:rsidRDefault="00CC2250">
            <w:pPr>
              <w:jc w:val="both"/>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Macaquiño</w:t>
            </w:r>
          </w:p>
        </w:tc>
        <w:tc>
          <w:tcPr>
            <w:tcW w:w="1134" w:type="dxa"/>
          </w:tcPr>
          <w:p w14:paraId="00000102"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205</w:t>
            </w:r>
          </w:p>
        </w:tc>
        <w:tc>
          <w:tcPr>
            <w:tcW w:w="1134" w:type="dxa"/>
          </w:tcPr>
          <w:p w14:paraId="00000103"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52</w:t>
            </w:r>
          </w:p>
        </w:tc>
        <w:tc>
          <w:tcPr>
            <w:tcW w:w="938" w:type="dxa"/>
          </w:tcPr>
          <w:p w14:paraId="00000104"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44</w:t>
            </w:r>
          </w:p>
        </w:tc>
        <w:tc>
          <w:tcPr>
            <w:tcW w:w="904" w:type="dxa"/>
          </w:tcPr>
          <w:p w14:paraId="00000105"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84,6%</w:t>
            </w:r>
          </w:p>
        </w:tc>
        <w:tc>
          <w:tcPr>
            <w:tcW w:w="1418" w:type="dxa"/>
          </w:tcPr>
          <w:p w14:paraId="00000106"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45</w:t>
            </w:r>
          </w:p>
        </w:tc>
        <w:tc>
          <w:tcPr>
            <w:tcW w:w="850" w:type="dxa"/>
          </w:tcPr>
          <w:p w14:paraId="00000107"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23</w:t>
            </w:r>
          </w:p>
        </w:tc>
        <w:tc>
          <w:tcPr>
            <w:tcW w:w="851" w:type="dxa"/>
          </w:tcPr>
          <w:p w14:paraId="00000108"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51,1%</w:t>
            </w:r>
          </w:p>
        </w:tc>
      </w:tr>
      <w:tr w:rsidR="00053842" w14:paraId="50BBDE7E" w14:textId="77777777" w:rsidTr="0005384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82" w:type="dxa"/>
            <w:vMerge/>
            <w:vAlign w:val="center"/>
          </w:tcPr>
          <w:p w14:paraId="00000109" w14:textId="77777777" w:rsidR="00053842" w:rsidRDefault="00053842">
            <w:pPr>
              <w:widowControl w:val="0"/>
              <w:rPr>
                <w:rFonts w:ascii="Quicksand" w:eastAsia="Quicksand" w:hAnsi="Quicksand" w:cs="Quicksand"/>
                <w:sz w:val="18"/>
                <w:szCs w:val="18"/>
              </w:rPr>
            </w:pPr>
          </w:p>
        </w:tc>
        <w:tc>
          <w:tcPr>
            <w:tcW w:w="1271" w:type="dxa"/>
          </w:tcPr>
          <w:p w14:paraId="0000010A" w14:textId="77777777" w:rsidR="00053842" w:rsidRDefault="00CC2250">
            <w:pPr>
              <w:jc w:val="both"/>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Trubón</w:t>
            </w:r>
          </w:p>
        </w:tc>
        <w:tc>
          <w:tcPr>
            <w:tcW w:w="1134" w:type="dxa"/>
          </w:tcPr>
          <w:p w14:paraId="0000010B"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143</w:t>
            </w:r>
          </w:p>
        </w:tc>
        <w:tc>
          <w:tcPr>
            <w:tcW w:w="1134" w:type="dxa"/>
          </w:tcPr>
          <w:p w14:paraId="0000010C"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29</w:t>
            </w:r>
          </w:p>
        </w:tc>
        <w:tc>
          <w:tcPr>
            <w:tcW w:w="938" w:type="dxa"/>
          </w:tcPr>
          <w:p w14:paraId="0000010D"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28</w:t>
            </w:r>
          </w:p>
        </w:tc>
        <w:tc>
          <w:tcPr>
            <w:tcW w:w="904" w:type="dxa"/>
          </w:tcPr>
          <w:p w14:paraId="0000010E"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96,6%</w:t>
            </w:r>
          </w:p>
        </w:tc>
        <w:tc>
          <w:tcPr>
            <w:tcW w:w="1418" w:type="dxa"/>
          </w:tcPr>
          <w:p w14:paraId="0000010F"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27</w:t>
            </w:r>
          </w:p>
        </w:tc>
        <w:tc>
          <w:tcPr>
            <w:tcW w:w="850" w:type="dxa"/>
          </w:tcPr>
          <w:p w14:paraId="00000110"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18</w:t>
            </w:r>
          </w:p>
        </w:tc>
        <w:tc>
          <w:tcPr>
            <w:tcW w:w="851" w:type="dxa"/>
          </w:tcPr>
          <w:p w14:paraId="00000111"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66,7%</w:t>
            </w:r>
          </w:p>
        </w:tc>
      </w:tr>
      <w:tr w:rsidR="00053842" w14:paraId="5253771E" w14:textId="77777777" w:rsidTr="00053842">
        <w:trPr>
          <w:trHeight w:val="270"/>
        </w:trPr>
        <w:tc>
          <w:tcPr>
            <w:cnfStyle w:val="001000000000" w:firstRow="0" w:lastRow="0" w:firstColumn="1" w:lastColumn="0" w:oddVBand="0" w:evenVBand="0" w:oddHBand="0" w:evenHBand="0" w:firstRowFirstColumn="0" w:firstRowLastColumn="0" w:lastRowFirstColumn="0" w:lastRowLastColumn="0"/>
            <w:tcW w:w="1282" w:type="dxa"/>
            <w:vAlign w:val="center"/>
          </w:tcPr>
          <w:p w14:paraId="00000112" w14:textId="77777777" w:rsidR="00053842" w:rsidRDefault="00CC2250">
            <w:pPr>
              <w:rPr>
                <w:rFonts w:ascii="Quicksand" w:eastAsia="Quicksand" w:hAnsi="Quicksand" w:cs="Quicksand"/>
                <w:sz w:val="18"/>
                <w:szCs w:val="18"/>
              </w:rPr>
            </w:pPr>
            <w:r>
              <w:rPr>
                <w:rFonts w:ascii="Quicksand" w:eastAsia="Quicksand" w:hAnsi="Quicksand" w:cs="Quicksand"/>
                <w:sz w:val="18"/>
                <w:szCs w:val="18"/>
              </w:rPr>
              <w:t>Wacará</w:t>
            </w:r>
          </w:p>
        </w:tc>
        <w:tc>
          <w:tcPr>
            <w:tcW w:w="1271" w:type="dxa"/>
          </w:tcPr>
          <w:p w14:paraId="00000113" w14:textId="77777777" w:rsidR="00053842" w:rsidRDefault="00CC2250">
            <w:pPr>
              <w:jc w:val="both"/>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Wacará</w:t>
            </w:r>
          </w:p>
        </w:tc>
        <w:tc>
          <w:tcPr>
            <w:tcW w:w="1134" w:type="dxa"/>
          </w:tcPr>
          <w:p w14:paraId="00000114"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189</w:t>
            </w:r>
          </w:p>
        </w:tc>
        <w:tc>
          <w:tcPr>
            <w:tcW w:w="1134" w:type="dxa"/>
          </w:tcPr>
          <w:p w14:paraId="00000115"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45</w:t>
            </w:r>
          </w:p>
        </w:tc>
        <w:tc>
          <w:tcPr>
            <w:tcW w:w="938" w:type="dxa"/>
          </w:tcPr>
          <w:p w14:paraId="00000116"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43</w:t>
            </w:r>
          </w:p>
        </w:tc>
        <w:tc>
          <w:tcPr>
            <w:tcW w:w="904" w:type="dxa"/>
          </w:tcPr>
          <w:p w14:paraId="00000117"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95,6%</w:t>
            </w:r>
          </w:p>
        </w:tc>
        <w:tc>
          <w:tcPr>
            <w:tcW w:w="1418" w:type="dxa"/>
          </w:tcPr>
          <w:p w14:paraId="00000118"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43</w:t>
            </w:r>
          </w:p>
        </w:tc>
        <w:tc>
          <w:tcPr>
            <w:tcW w:w="850" w:type="dxa"/>
          </w:tcPr>
          <w:p w14:paraId="00000119"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40</w:t>
            </w:r>
          </w:p>
        </w:tc>
        <w:tc>
          <w:tcPr>
            <w:tcW w:w="851" w:type="dxa"/>
          </w:tcPr>
          <w:p w14:paraId="0000011A"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93,0%</w:t>
            </w:r>
          </w:p>
        </w:tc>
      </w:tr>
      <w:tr w:rsidR="00053842" w14:paraId="670D9097" w14:textId="77777777" w:rsidTr="0005384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3" w:type="dxa"/>
            <w:gridSpan w:val="2"/>
          </w:tcPr>
          <w:p w14:paraId="0000011B" w14:textId="01F9BF87" w:rsidR="00053842" w:rsidRDefault="00CC2250">
            <w:pPr>
              <w:jc w:val="both"/>
              <w:rPr>
                <w:rFonts w:ascii="Quicksand" w:eastAsia="Quicksand" w:hAnsi="Quicksand" w:cs="Quicksand"/>
                <w:sz w:val="18"/>
                <w:szCs w:val="18"/>
              </w:rPr>
            </w:pPr>
            <w:r>
              <w:rPr>
                <w:rFonts w:ascii="Quicksand" w:eastAsia="Quicksand" w:hAnsi="Quicksand" w:cs="Quicksand"/>
                <w:sz w:val="18"/>
                <w:szCs w:val="18"/>
              </w:rPr>
              <w:t>Total,</w:t>
            </w:r>
            <w:r>
              <w:rPr>
                <w:rFonts w:ascii="Quicksand" w:eastAsia="Quicksand" w:hAnsi="Quicksand" w:cs="Quicksand"/>
                <w:sz w:val="18"/>
                <w:szCs w:val="18"/>
              </w:rPr>
              <w:t xml:space="preserve"> general</w:t>
            </w:r>
          </w:p>
        </w:tc>
        <w:tc>
          <w:tcPr>
            <w:tcW w:w="1134" w:type="dxa"/>
          </w:tcPr>
          <w:p w14:paraId="0000011D"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b/>
                <w:sz w:val="18"/>
                <w:szCs w:val="18"/>
              </w:rPr>
            </w:pPr>
            <w:r>
              <w:rPr>
                <w:rFonts w:ascii="Quicksand" w:eastAsia="Quicksand" w:hAnsi="Quicksand" w:cs="Quicksand"/>
                <w:b/>
                <w:sz w:val="18"/>
                <w:szCs w:val="18"/>
              </w:rPr>
              <w:t>2074</w:t>
            </w:r>
          </w:p>
        </w:tc>
        <w:tc>
          <w:tcPr>
            <w:tcW w:w="1134" w:type="dxa"/>
          </w:tcPr>
          <w:p w14:paraId="0000011E"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b/>
                <w:sz w:val="18"/>
                <w:szCs w:val="18"/>
              </w:rPr>
            </w:pPr>
            <w:r>
              <w:rPr>
                <w:rFonts w:ascii="Quicksand" w:eastAsia="Quicksand" w:hAnsi="Quicksand" w:cs="Quicksand"/>
                <w:b/>
                <w:sz w:val="18"/>
                <w:szCs w:val="18"/>
              </w:rPr>
              <w:t>492</w:t>
            </w:r>
          </w:p>
        </w:tc>
        <w:tc>
          <w:tcPr>
            <w:tcW w:w="938" w:type="dxa"/>
          </w:tcPr>
          <w:p w14:paraId="0000011F"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b/>
                <w:sz w:val="18"/>
                <w:szCs w:val="18"/>
              </w:rPr>
            </w:pPr>
            <w:r>
              <w:rPr>
                <w:rFonts w:ascii="Quicksand" w:eastAsia="Quicksand" w:hAnsi="Quicksand" w:cs="Quicksand"/>
                <w:b/>
                <w:sz w:val="18"/>
                <w:szCs w:val="18"/>
              </w:rPr>
              <w:t>437</w:t>
            </w:r>
          </w:p>
        </w:tc>
        <w:tc>
          <w:tcPr>
            <w:tcW w:w="904" w:type="dxa"/>
          </w:tcPr>
          <w:p w14:paraId="00000120"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b/>
                <w:sz w:val="18"/>
                <w:szCs w:val="18"/>
              </w:rPr>
            </w:pPr>
            <w:r>
              <w:rPr>
                <w:rFonts w:ascii="Quicksand" w:eastAsia="Quicksand" w:hAnsi="Quicksand" w:cs="Quicksand"/>
                <w:b/>
                <w:sz w:val="18"/>
                <w:szCs w:val="18"/>
              </w:rPr>
              <w:t>88,8%</w:t>
            </w:r>
          </w:p>
        </w:tc>
        <w:tc>
          <w:tcPr>
            <w:tcW w:w="1418" w:type="dxa"/>
          </w:tcPr>
          <w:p w14:paraId="00000121"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b/>
                <w:sz w:val="18"/>
                <w:szCs w:val="18"/>
              </w:rPr>
            </w:pPr>
            <w:r>
              <w:rPr>
                <w:rFonts w:ascii="Quicksand" w:eastAsia="Quicksand" w:hAnsi="Quicksand" w:cs="Quicksand"/>
                <w:b/>
                <w:sz w:val="18"/>
                <w:szCs w:val="18"/>
              </w:rPr>
              <w:t>427</w:t>
            </w:r>
          </w:p>
        </w:tc>
        <w:tc>
          <w:tcPr>
            <w:tcW w:w="850" w:type="dxa"/>
          </w:tcPr>
          <w:p w14:paraId="00000122"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b/>
                <w:sz w:val="18"/>
                <w:szCs w:val="18"/>
              </w:rPr>
            </w:pPr>
            <w:r>
              <w:rPr>
                <w:rFonts w:ascii="Quicksand" w:eastAsia="Quicksand" w:hAnsi="Quicksand" w:cs="Quicksand"/>
                <w:b/>
                <w:sz w:val="18"/>
                <w:szCs w:val="18"/>
              </w:rPr>
              <w:t>324</w:t>
            </w:r>
          </w:p>
        </w:tc>
        <w:tc>
          <w:tcPr>
            <w:tcW w:w="851" w:type="dxa"/>
          </w:tcPr>
          <w:p w14:paraId="00000123"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b/>
                <w:sz w:val="18"/>
                <w:szCs w:val="18"/>
              </w:rPr>
            </w:pPr>
            <w:r>
              <w:rPr>
                <w:rFonts w:ascii="Quicksand" w:eastAsia="Quicksand" w:hAnsi="Quicksand" w:cs="Quicksand"/>
                <w:b/>
                <w:sz w:val="18"/>
                <w:szCs w:val="18"/>
              </w:rPr>
              <w:t>75,9%</w:t>
            </w:r>
          </w:p>
        </w:tc>
      </w:tr>
    </w:tbl>
    <w:p w14:paraId="00000124" w14:textId="77777777" w:rsidR="00053842" w:rsidRDefault="00CC2250">
      <w:pPr>
        <w:spacing w:after="160" w:line="259" w:lineRule="auto"/>
        <w:jc w:val="center"/>
        <w:rPr>
          <w:rFonts w:ascii="Quicksand" w:eastAsia="Quicksand" w:hAnsi="Quicksand" w:cs="Quicksand"/>
          <w:sz w:val="20"/>
          <w:szCs w:val="20"/>
        </w:rPr>
      </w:pPr>
      <w:r>
        <w:rPr>
          <w:rFonts w:ascii="Quicksand" w:eastAsia="Quicksand" w:hAnsi="Quicksand" w:cs="Quicksand"/>
          <w:sz w:val="20"/>
          <w:szCs w:val="20"/>
        </w:rPr>
        <w:t>Fuente: Sinergias 2018</w:t>
      </w:r>
    </w:p>
    <w:p w14:paraId="00000125" w14:textId="77777777" w:rsidR="00053842" w:rsidRDefault="00CC2250">
      <w:pPr>
        <w:spacing w:after="160"/>
        <w:jc w:val="both"/>
        <w:rPr>
          <w:rFonts w:ascii="Quicksand" w:eastAsia="Quicksand" w:hAnsi="Quicksand" w:cs="Quicksand"/>
        </w:rPr>
      </w:pPr>
      <w:r>
        <w:rPr>
          <w:rFonts w:ascii="Quicksand" w:eastAsia="Quicksand" w:hAnsi="Quicksand" w:cs="Quicksand"/>
        </w:rPr>
        <w:t>La tabla 3 muestra las familias censadas, con visita inicial y de seguimiento. El 100% de las familias fueron censadas (492) y se realizó visita de caracterización a 437 (88.8%). En las visitas de seguimiento se evidencia que 38 familias (7,7%) se ausentar</w:t>
      </w:r>
      <w:r>
        <w:rPr>
          <w:rFonts w:ascii="Quicksand" w:eastAsia="Quicksand" w:hAnsi="Quicksand" w:cs="Quicksand"/>
        </w:rPr>
        <w:t>on definitivamente de las comunidades y 27 (5.5%) lo hicieron de manera temporal. Así, de las 427 familias que permanecían en el territorio, fueron visitadas para seguimiento 324, que representan el 75,9% de las familias caracterizadas. En el caso de Timbó</w:t>
      </w:r>
      <w:r>
        <w:rPr>
          <w:rFonts w:ascii="Quicksand" w:eastAsia="Quicksand" w:hAnsi="Quicksand" w:cs="Quicksand"/>
        </w:rPr>
        <w:t xml:space="preserve"> de Betania aparece el seguimiento a una familia más que el número de familias permanentes en la comunidad. Esto se debe a que el seguimiento se realizó en el momento en que una de las familias temporales se encontraba en la comunidad; sin embargo, los mie</w:t>
      </w:r>
      <w:r>
        <w:rPr>
          <w:rFonts w:ascii="Quicksand" w:eastAsia="Quicksand" w:hAnsi="Quicksand" w:cs="Quicksand"/>
        </w:rPr>
        <w:t xml:space="preserve">mbros de esa familia no se encuentran continuamente en la comunidad por lo cual se registran como familia permanente. </w:t>
      </w:r>
    </w:p>
    <w:p w14:paraId="00000126" w14:textId="77777777" w:rsidR="00053842" w:rsidRDefault="00CC2250">
      <w:pPr>
        <w:spacing w:after="160"/>
        <w:jc w:val="both"/>
        <w:rPr>
          <w:rFonts w:ascii="Quicksand" w:eastAsia="Quicksand" w:hAnsi="Quicksand" w:cs="Quicksand"/>
        </w:rPr>
      </w:pPr>
      <w:r>
        <w:rPr>
          <w:rFonts w:ascii="Quicksand" w:eastAsia="Quicksand" w:hAnsi="Quicksand" w:cs="Quicksand"/>
        </w:rPr>
        <w:lastRenderedPageBreak/>
        <w:t>En cada una de las visitas se utilizó el formato de caracterización familiar, el cual consta de 62 variables distribuidas en 9 componente</w:t>
      </w:r>
      <w:r>
        <w:rPr>
          <w:rFonts w:ascii="Quicksand" w:eastAsia="Quicksand" w:hAnsi="Quicksand" w:cs="Quicksand"/>
        </w:rPr>
        <w:t xml:space="preserve">s. A cada variable se le asigna un puntaje entre 0 y 2, de acuerdo al riesgo encontrado (alto, medio y bajo), y luego se clasifica a la familia sumando los puntajes de todos los componentes. </w:t>
      </w:r>
    </w:p>
    <w:p w14:paraId="00000127" w14:textId="77777777" w:rsidR="00053842" w:rsidRDefault="00CC2250">
      <w:pPr>
        <w:spacing w:after="160"/>
        <w:jc w:val="both"/>
        <w:rPr>
          <w:rFonts w:ascii="Quicksand" w:eastAsia="Quicksand" w:hAnsi="Quicksand" w:cs="Quicksand"/>
        </w:rPr>
      </w:pPr>
      <w:r>
        <w:rPr>
          <w:rFonts w:ascii="Quicksand" w:eastAsia="Quicksand" w:hAnsi="Quicksand" w:cs="Quicksand"/>
        </w:rPr>
        <w:t>Cada ítem se califica con Cero “0”, Uno “1” o Dos “2” y se color</w:t>
      </w:r>
      <w:r>
        <w:rPr>
          <w:rFonts w:ascii="Quicksand" w:eastAsia="Quicksand" w:hAnsi="Quicksand" w:cs="Quicksand"/>
        </w:rPr>
        <w:t>ea a modo de semáforo así:</w:t>
      </w:r>
    </w:p>
    <w:p w14:paraId="00000128" w14:textId="77777777" w:rsidR="00053842" w:rsidRDefault="00CC2250">
      <w:pPr>
        <w:numPr>
          <w:ilvl w:val="0"/>
          <w:numId w:val="2"/>
        </w:numPr>
        <w:jc w:val="both"/>
        <w:rPr>
          <w:rFonts w:ascii="Quicksand" w:eastAsia="Quicksand" w:hAnsi="Quicksand" w:cs="Quicksand"/>
        </w:rPr>
      </w:pPr>
      <w:r>
        <w:rPr>
          <w:rFonts w:ascii="Quicksand" w:eastAsia="Quicksand" w:hAnsi="Quicksand" w:cs="Quicksand"/>
          <w:b/>
          <w:color w:val="385623"/>
        </w:rPr>
        <w:t>Dos</w:t>
      </w:r>
      <w:r>
        <w:rPr>
          <w:rFonts w:ascii="Quicksand" w:eastAsia="Quicksand" w:hAnsi="Quicksand" w:cs="Quicksand"/>
          <w:color w:val="385623"/>
        </w:rPr>
        <w:t xml:space="preserve"> </w:t>
      </w:r>
      <w:r>
        <w:rPr>
          <w:rFonts w:ascii="Quicksand" w:eastAsia="Quicksand" w:hAnsi="Quicksand" w:cs="Quicksand"/>
        </w:rPr>
        <w:t>(</w:t>
      </w:r>
      <w:r>
        <w:rPr>
          <w:rFonts w:ascii="Quicksand" w:eastAsia="Quicksand" w:hAnsi="Quicksand" w:cs="Quicksand"/>
          <w:b/>
          <w:color w:val="385623"/>
        </w:rPr>
        <w:t>2</w:t>
      </w:r>
      <w:r>
        <w:rPr>
          <w:rFonts w:ascii="Quicksand" w:eastAsia="Quicksand" w:hAnsi="Quicksand" w:cs="Quicksand"/>
        </w:rPr>
        <w:t xml:space="preserve">): Es el valor superior, corresponde al color </w:t>
      </w:r>
      <w:r>
        <w:rPr>
          <w:rFonts w:ascii="Quicksand" w:eastAsia="Quicksand" w:hAnsi="Quicksand" w:cs="Quicksand"/>
          <w:b/>
          <w:color w:val="385623"/>
        </w:rPr>
        <w:t>verde</w:t>
      </w:r>
      <w:r>
        <w:rPr>
          <w:rFonts w:ascii="Quicksand" w:eastAsia="Quicksand" w:hAnsi="Quicksand" w:cs="Quicksand"/>
        </w:rPr>
        <w:t>. Indica que la familia cuenta con un factor protector en la variable evaluada</w:t>
      </w:r>
    </w:p>
    <w:p w14:paraId="00000129" w14:textId="77777777" w:rsidR="00053842" w:rsidRDefault="00CC2250">
      <w:pPr>
        <w:numPr>
          <w:ilvl w:val="0"/>
          <w:numId w:val="2"/>
        </w:numPr>
        <w:jc w:val="both"/>
        <w:rPr>
          <w:rFonts w:ascii="Quicksand" w:eastAsia="Quicksand" w:hAnsi="Quicksand" w:cs="Quicksand"/>
        </w:rPr>
      </w:pPr>
      <w:r>
        <w:rPr>
          <w:rFonts w:ascii="Quicksand" w:eastAsia="Quicksand" w:hAnsi="Quicksand" w:cs="Quicksand"/>
          <w:b/>
          <w:color w:val="BF8F00"/>
        </w:rPr>
        <w:t>Uno</w:t>
      </w:r>
      <w:r>
        <w:rPr>
          <w:rFonts w:ascii="Quicksand" w:eastAsia="Quicksand" w:hAnsi="Quicksand" w:cs="Quicksand"/>
          <w:b/>
          <w:color w:val="FFC000"/>
        </w:rPr>
        <w:t xml:space="preserve"> </w:t>
      </w:r>
      <w:r>
        <w:rPr>
          <w:rFonts w:ascii="Quicksand" w:eastAsia="Quicksand" w:hAnsi="Quicksand" w:cs="Quicksand"/>
        </w:rPr>
        <w:t>(</w:t>
      </w:r>
      <w:r>
        <w:rPr>
          <w:rFonts w:ascii="Quicksand" w:eastAsia="Quicksand" w:hAnsi="Quicksand" w:cs="Quicksand"/>
          <w:b/>
          <w:color w:val="BF8F00"/>
        </w:rPr>
        <w:t>1</w:t>
      </w:r>
      <w:r>
        <w:rPr>
          <w:rFonts w:ascii="Quicksand" w:eastAsia="Quicksand" w:hAnsi="Quicksand" w:cs="Quicksand"/>
        </w:rPr>
        <w:t xml:space="preserve">): Es el valor intermedio, corresponde al color </w:t>
      </w:r>
      <w:r>
        <w:rPr>
          <w:rFonts w:ascii="Quicksand" w:eastAsia="Quicksand" w:hAnsi="Quicksand" w:cs="Quicksand"/>
          <w:b/>
          <w:color w:val="BF8F00"/>
        </w:rPr>
        <w:t>amarillo</w:t>
      </w:r>
      <w:r>
        <w:rPr>
          <w:rFonts w:ascii="Quicksand" w:eastAsia="Quicksand" w:hAnsi="Quicksand" w:cs="Quicksand"/>
        </w:rPr>
        <w:t>. La variable evaluada no se constituye en factor de riesgo, pero requiere acciones familiares para convertirse en uno protector.</w:t>
      </w:r>
    </w:p>
    <w:p w14:paraId="0000012A" w14:textId="77777777" w:rsidR="00053842" w:rsidRDefault="00CC2250">
      <w:pPr>
        <w:numPr>
          <w:ilvl w:val="0"/>
          <w:numId w:val="2"/>
        </w:numPr>
        <w:jc w:val="both"/>
        <w:rPr>
          <w:rFonts w:ascii="Quicksand" w:eastAsia="Quicksand" w:hAnsi="Quicksand" w:cs="Quicksand"/>
        </w:rPr>
      </w:pPr>
      <w:r>
        <w:rPr>
          <w:rFonts w:ascii="Quicksand" w:eastAsia="Quicksand" w:hAnsi="Quicksand" w:cs="Quicksand"/>
          <w:b/>
          <w:color w:val="FF0000"/>
        </w:rPr>
        <w:t>Cero</w:t>
      </w:r>
      <w:r>
        <w:rPr>
          <w:rFonts w:ascii="Quicksand" w:eastAsia="Quicksand" w:hAnsi="Quicksand" w:cs="Quicksand"/>
        </w:rPr>
        <w:t xml:space="preserve"> (</w:t>
      </w:r>
      <w:r>
        <w:rPr>
          <w:rFonts w:ascii="Quicksand" w:eastAsia="Quicksand" w:hAnsi="Quicksand" w:cs="Quicksand"/>
          <w:b/>
          <w:color w:val="FF0000"/>
        </w:rPr>
        <w:t>0</w:t>
      </w:r>
      <w:r>
        <w:rPr>
          <w:rFonts w:ascii="Quicksand" w:eastAsia="Quicksand" w:hAnsi="Quicksand" w:cs="Quicksand"/>
        </w:rPr>
        <w:t xml:space="preserve">): Es el valor inferior, corresponde al color </w:t>
      </w:r>
      <w:r>
        <w:rPr>
          <w:rFonts w:ascii="Quicksand" w:eastAsia="Quicksand" w:hAnsi="Quicksand" w:cs="Quicksand"/>
          <w:b/>
          <w:color w:val="FF0000"/>
        </w:rPr>
        <w:t>rojo</w:t>
      </w:r>
      <w:r>
        <w:rPr>
          <w:rFonts w:ascii="Quicksand" w:eastAsia="Quicksand" w:hAnsi="Quicksand" w:cs="Quicksand"/>
        </w:rPr>
        <w:t xml:space="preserve">. Representa </w:t>
      </w:r>
      <w:r>
        <w:rPr>
          <w:rFonts w:ascii="Quicksand" w:eastAsia="Quicksand" w:hAnsi="Quicksand" w:cs="Quicksand"/>
        </w:rPr>
        <w:t xml:space="preserve">un factor de riesgo y requiere de la búsqueda e implementación de solución(es) por parte de la familia para cambiar la situación. </w:t>
      </w:r>
    </w:p>
    <w:p w14:paraId="0000012B" w14:textId="77777777" w:rsidR="00053842" w:rsidRDefault="00053842">
      <w:pPr>
        <w:ind w:left="720"/>
        <w:jc w:val="both"/>
        <w:rPr>
          <w:rFonts w:ascii="Quicksand" w:eastAsia="Quicksand" w:hAnsi="Quicksand" w:cs="Quicksand"/>
        </w:rPr>
      </w:pPr>
    </w:p>
    <w:p w14:paraId="0000012C" w14:textId="77777777" w:rsidR="00053842" w:rsidRDefault="00CC2250">
      <w:pPr>
        <w:spacing w:after="160"/>
        <w:jc w:val="both"/>
        <w:rPr>
          <w:rFonts w:ascii="Quicksand" w:eastAsia="Quicksand" w:hAnsi="Quicksand" w:cs="Quicksand"/>
        </w:rPr>
      </w:pPr>
      <w:bookmarkStart w:id="2" w:name="_3j2qqm3" w:colFirst="0" w:colLast="0"/>
      <w:bookmarkEnd w:id="2"/>
      <w:r>
        <w:rPr>
          <w:rFonts w:ascii="Quicksand" w:eastAsia="Quicksand" w:hAnsi="Quicksand" w:cs="Quicksand"/>
        </w:rPr>
        <w:t>Los puntajes obtenidos se suman para establecer el valor de cada componente. Así, de acuerdo con el puntaje, las familias se</w:t>
      </w:r>
      <w:r>
        <w:rPr>
          <w:rFonts w:ascii="Quicksand" w:eastAsia="Quicksand" w:hAnsi="Quicksand" w:cs="Quicksand"/>
        </w:rPr>
        <w:t xml:space="preserve"> pueden clasificar en </w:t>
      </w:r>
      <w:r>
        <w:rPr>
          <w:rFonts w:ascii="Quicksand" w:eastAsia="Quicksand" w:hAnsi="Quicksand" w:cs="Quicksand"/>
          <w:b/>
          <w:color w:val="385623"/>
        </w:rPr>
        <w:t>bajo (&gt;80%)</w:t>
      </w:r>
      <w:r>
        <w:rPr>
          <w:rFonts w:ascii="Quicksand" w:eastAsia="Quicksand" w:hAnsi="Quicksand" w:cs="Quicksand"/>
        </w:rPr>
        <w:t xml:space="preserve">, </w:t>
      </w:r>
      <w:r>
        <w:rPr>
          <w:rFonts w:ascii="Quicksand" w:eastAsia="Quicksand" w:hAnsi="Quicksand" w:cs="Quicksand"/>
          <w:b/>
          <w:color w:val="BF8F00"/>
        </w:rPr>
        <w:t>medio (60-80%)</w:t>
      </w:r>
      <w:r>
        <w:rPr>
          <w:rFonts w:ascii="Quicksand" w:eastAsia="Quicksand" w:hAnsi="Quicksand" w:cs="Quicksand"/>
          <w:color w:val="BF8F00"/>
        </w:rPr>
        <w:t xml:space="preserve"> </w:t>
      </w:r>
      <w:r>
        <w:rPr>
          <w:rFonts w:ascii="Quicksand" w:eastAsia="Quicksand" w:hAnsi="Quicksand" w:cs="Quicksand"/>
        </w:rPr>
        <w:t xml:space="preserve">o </w:t>
      </w:r>
      <w:r>
        <w:rPr>
          <w:rFonts w:ascii="Quicksand" w:eastAsia="Quicksand" w:hAnsi="Quicksand" w:cs="Quicksand"/>
          <w:b/>
          <w:color w:val="FF0000"/>
        </w:rPr>
        <w:t>alto riesgo (&lt;60%)</w:t>
      </w:r>
      <w:r>
        <w:rPr>
          <w:rFonts w:ascii="Quicksand" w:eastAsia="Quicksand" w:hAnsi="Quicksand" w:cs="Quicksand"/>
        </w:rPr>
        <w:t>.</w:t>
      </w:r>
    </w:p>
    <w:p w14:paraId="0000012D" w14:textId="77777777" w:rsidR="00053842" w:rsidRDefault="00053842">
      <w:pPr>
        <w:spacing w:line="240" w:lineRule="auto"/>
        <w:ind w:right="615"/>
        <w:jc w:val="both"/>
        <w:rPr>
          <w:rFonts w:ascii="Calibri" w:eastAsia="Calibri" w:hAnsi="Calibri" w:cs="Calibri"/>
          <w:sz w:val="14"/>
          <w:szCs w:val="14"/>
        </w:rPr>
      </w:pPr>
    </w:p>
    <w:p w14:paraId="0000012E" w14:textId="77777777" w:rsidR="00053842" w:rsidRDefault="00CC2250">
      <w:pPr>
        <w:keepNext/>
        <w:jc w:val="center"/>
        <w:rPr>
          <w:rFonts w:ascii="Quicksand" w:eastAsia="Quicksand" w:hAnsi="Quicksand" w:cs="Quicksand"/>
          <w:i/>
          <w:color w:val="7F7F7F"/>
          <w:sz w:val="20"/>
          <w:szCs w:val="20"/>
        </w:rPr>
      </w:pPr>
      <w:r>
        <w:rPr>
          <w:rFonts w:ascii="Quicksand" w:eastAsia="Quicksand" w:hAnsi="Quicksand" w:cs="Quicksand"/>
          <w:color w:val="7F7F7F"/>
          <w:sz w:val="20"/>
          <w:szCs w:val="20"/>
        </w:rPr>
        <w:t>Tabla 4. Categorías temáticas incluidas en la visita domiciliaria, número de variables por categoría y máximo puntaje que puede obtener una familia en cada una de ellas.</w:t>
      </w:r>
    </w:p>
    <w:tbl>
      <w:tblPr>
        <w:tblStyle w:val="a1"/>
        <w:tblW w:w="8243" w:type="dxa"/>
        <w:jc w:val="center"/>
        <w:tblInd w:w="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5843"/>
        <w:gridCol w:w="1200"/>
        <w:gridCol w:w="1200"/>
      </w:tblGrid>
      <w:tr w:rsidR="00053842" w14:paraId="0E70D0C4" w14:textId="77777777" w:rsidTr="00053842">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843" w:type="dxa"/>
          </w:tcPr>
          <w:p w14:paraId="0000012F" w14:textId="77777777" w:rsidR="00053842" w:rsidRDefault="00CC2250">
            <w:pPr>
              <w:rPr>
                <w:rFonts w:ascii="Quicksand" w:eastAsia="Quicksand" w:hAnsi="Quicksand" w:cs="Quicksand"/>
                <w:sz w:val="18"/>
                <w:szCs w:val="18"/>
              </w:rPr>
            </w:pPr>
            <w:r>
              <w:rPr>
                <w:rFonts w:ascii="Quicksand" w:eastAsia="Quicksand" w:hAnsi="Quicksand" w:cs="Quicksand"/>
                <w:sz w:val="18"/>
                <w:szCs w:val="18"/>
              </w:rPr>
              <w:t>Categoría</w:t>
            </w:r>
          </w:p>
        </w:tc>
        <w:tc>
          <w:tcPr>
            <w:tcW w:w="1200" w:type="dxa"/>
          </w:tcPr>
          <w:p w14:paraId="00000130" w14:textId="77777777" w:rsidR="00053842" w:rsidRDefault="00CC2250">
            <w:pPr>
              <w:jc w:val="center"/>
              <w:cnfStyle w:val="100000000000" w:firstRow="1"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Número de variables</w:t>
            </w:r>
          </w:p>
        </w:tc>
        <w:tc>
          <w:tcPr>
            <w:tcW w:w="1200" w:type="dxa"/>
          </w:tcPr>
          <w:p w14:paraId="00000131" w14:textId="77777777" w:rsidR="00053842" w:rsidRDefault="00CC2250">
            <w:pPr>
              <w:jc w:val="center"/>
              <w:cnfStyle w:val="100000000000" w:firstRow="1"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Máximo puntaje</w:t>
            </w:r>
          </w:p>
        </w:tc>
      </w:tr>
      <w:tr w:rsidR="00053842" w14:paraId="1905B5DD" w14:textId="77777777" w:rsidTr="00053842">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5843" w:type="dxa"/>
          </w:tcPr>
          <w:p w14:paraId="00000132" w14:textId="77777777" w:rsidR="00053842" w:rsidRDefault="00CC2250">
            <w:pPr>
              <w:rPr>
                <w:rFonts w:ascii="Quicksand" w:eastAsia="Quicksand" w:hAnsi="Quicksand" w:cs="Quicksand"/>
                <w:color w:val="000000"/>
                <w:sz w:val="18"/>
                <w:szCs w:val="18"/>
              </w:rPr>
            </w:pPr>
            <w:r>
              <w:rPr>
                <w:rFonts w:ascii="Quicksand" w:eastAsia="Quicksand" w:hAnsi="Quicksand" w:cs="Quicksand"/>
                <w:b w:val="0"/>
                <w:color w:val="000000"/>
                <w:sz w:val="18"/>
                <w:szCs w:val="18"/>
              </w:rPr>
              <w:t>1. Condiciones de la vivienda</w:t>
            </w:r>
          </w:p>
        </w:tc>
        <w:tc>
          <w:tcPr>
            <w:tcW w:w="1200" w:type="dxa"/>
          </w:tcPr>
          <w:p w14:paraId="00000133"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9</w:t>
            </w:r>
          </w:p>
        </w:tc>
        <w:tc>
          <w:tcPr>
            <w:tcW w:w="1200" w:type="dxa"/>
          </w:tcPr>
          <w:p w14:paraId="00000134"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18</w:t>
            </w:r>
          </w:p>
        </w:tc>
      </w:tr>
      <w:tr w:rsidR="00053842" w14:paraId="0B1E9DC7" w14:textId="77777777" w:rsidTr="00053842">
        <w:trPr>
          <w:trHeight w:val="166"/>
          <w:jc w:val="center"/>
        </w:trPr>
        <w:tc>
          <w:tcPr>
            <w:cnfStyle w:val="001000000000" w:firstRow="0" w:lastRow="0" w:firstColumn="1" w:lastColumn="0" w:oddVBand="0" w:evenVBand="0" w:oddHBand="0" w:evenHBand="0" w:firstRowFirstColumn="0" w:firstRowLastColumn="0" w:lastRowFirstColumn="0" w:lastRowLastColumn="0"/>
            <w:tcW w:w="5843" w:type="dxa"/>
          </w:tcPr>
          <w:p w14:paraId="00000135" w14:textId="77777777" w:rsidR="00053842" w:rsidRDefault="00CC2250">
            <w:pPr>
              <w:rPr>
                <w:rFonts w:ascii="Quicksand" w:eastAsia="Quicksand" w:hAnsi="Quicksand" w:cs="Quicksand"/>
                <w:color w:val="000000"/>
                <w:sz w:val="18"/>
                <w:szCs w:val="18"/>
              </w:rPr>
            </w:pPr>
            <w:r>
              <w:rPr>
                <w:rFonts w:ascii="Quicksand" w:eastAsia="Quicksand" w:hAnsi="Quicksand" w:cs="Quicksand"/>
                <w:b w:val="0"/>
                <w:color w:val="000000"/>
                <w:sz w:val="18"/>
                <w:szCs w:val="18"/>
              </w:rPr>
              <w:t>2. Manejo y disposición de excretas, basuras y agua en la familia</w:t>
            </w:r>
          </w:p>
        </w:tc>
        <w:tc>
          <w:tcPr>
            <w:tcW w:w="1200" w:type="dxa"/>
          </w:tcPr>
          <w:p w14:paraId="00000136"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4</w:t>
            </w:r>
          </w:p>
        </w:tc>
        <w:tc>
          <w:tcPr>
            <w:tcW w:w="1200" w:type="dxa"/>
          </w:tcPr>
          <w:p w14:paraId="00000137"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8</w:t>
            </w:r>
          </w:p>
        </w:tc>
      </w:tr>
      <w:tr w:rsidR="00053842" w14:paraId="3097A181" w14:textId="77777777" w:rsidTr="00053842">
        <w:trPr>
          <w:cnfStyle w:val="000000100000" w:firstRow="0" w:lastRow="0" w:firstColumn="0" w:lastColumn="0" w:oddVBand="0" w:evenVBand="0" w:oddHBand="1" w:evenHBand="0" w:firstRowFirstColumn="0" w:firstRowLastColumn="0" w:lastRowFirstColumn="0" w:lastRowLastColumn="0"/>
          <w:trHeight w:val="128"/>
          <w:jc w:val="center"/>
        </w:trPr>
        <w:tc>
          <w:tcPr>
            <w:cnfStyle w:val="001000000000" w:firstRow="0" w:lastRow="0" w:firstColumn="1" w:lastColumn="0" w:oddVBand="0" w:evenVBand="0" w:oddHBand="0" w:evenHBand="0" w:firstRowFirstColumn="0" w:firstRowLastColumn="0" w:lastRowFirstColumn="0" w:lastRowLastColumn="0"/>
            <w:tcW w:w="5843" w:type="dxa"/>
          </w:tcPr>
          <w:p w14:paraId="00000138" w14:textId="77777777" w:rsidR="00053842" w:rsidRDefault="00CC2250">
            <w:pPr>
              <w:rPr>
                <w:rFonts w:ascii="Quicksand" w:eastAsia="Quicksand" w:hAnsi="Quicksand" w:cs="Quicksand"/>
                <w:color w:val="000000"/>
                <w:sz w:val="18"/>
                <w:szCs w:val="18"/>
              </w:rPr>
            </w:pPr>
            <w:r>
              <w:rPr>
                <w:rFonts w:ascii="Quicksand" w:eastAsia="Quicksand" w:hAnsi="Quicksand" w:cs="Quicksand"/>
                <w:b w:val="0"/>
                <w:color w:val="000000"/>
                <w:sz w:val="18"/>
                <w:szCs w:val="18"/>
              </w:rPr>
              <w:t>3. Disposición, acceso y consumo de alimentos (soberanía alimentaria)</w:t>
            </w:r>
          </w:p>
        </w:tc>
        <w:tc>
          <w:tcPr>
            <w:tcW w:w="1200" w:type="dxa"/>
          </w:tcPr>
          <w:p w14:paraId="00000139"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5</w:t>
            </w:r>
          </w:p>
        </w:tc>
        <w:tc>
          <w:tcPr>
            <w:tcW w:w="1200" w:type="dxa"/>
          </w:tcPr>
          <w:p w14:paraId="0000013A"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10</w:t>
            </w:r>
          </w:p>
        </w:tc>
      </w:tr>
      <w:tr w:rsidR="00053842" w14:paraId="441B8CE8" w14:textId="77777777" w:rsidTr="00053842">
        <w:trPr>
          <w:trHeight w:val="218"/>
          <w:jc w:val="center"/>
        </w:trPr>
        <w:tc>
          <w:tcPr>
            <w:cnfStyle w:val="001000000000" w:firstRow="0" w:lastRow="0" w:firstColumn="1" w:lastColumn="0" w:oddVBand="0" w:evenVBand="0" w:oddHBand="0" w:evenHBand="0" w:firstRowFirstColumn="0" w:firstRowLastColumn="0" w:lastRowFirstColumn="0" w:lastRowLastColumn="0"/>
            <w:tcW w:w="5843" w:type="dxa"/>
          </w:tcPr>
          <w:p w14:paraId="0000013B" w14:textId="77777777" w:rsidR="00053842" w:rsidRDefault="00CC2250">
            <w:pPr>
              <w:rPr>
                <w:rFonts w:ascii="Quicksand" w:eastAsia="Quicksand" w:hAnsi="Quicksand" w:cs="Quicksand"/>
                <w:color w:val="000000"/>
                <w:sz w:val="18"/>
                <w:szCs w:val="18"/>
              </w:rPr>
            </w:pPr>
            <w:r>
              <w:rPr>
                <w:rFonts w:ascii="Quicksand" w:eastAsia="Quicksand" w:hAnsi="Quicksand" w:cs="Quicksand"/>
                <w:b w:val="0"/>
                <w:color w:val="000000"/>
                <w:sz w:val="18"/>
                <w:szCs w:val="18"/>
              </w:rPr>
              <w:t>4. Estilos de vida saludable</w:t>
            </w:r>
          </w:p>
        </w:tc>
        <w:tc>
          <w:tcPr>
            <w:tcW w:w="1200" w:type="dxa"/>
          </w:tcPr>
          <w:p w14:paraId="0000013C"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11</w:t>
            </w:r>
          </w:p>
        </w:tc>
        <w:tc>
          <w:tcPr>
            <w:tcW w:w="1200" w:type="dxa"/>
          </w:tcPr>
          <w:p w14:paraId="0000013D"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22</w:t>
            </w:r>
          </w:p>
        </w:tc>
      </w:tr>
      <w:tr w:rsidR="00053842" w14:paraId="6FF97F36" w14:textId="77777777" w:rsidTr="00053842">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5843" w:type="dxa"/>
          </w:tcPr>
          <w:p w14:paraId="0000013E" w14:textId="77777777" w:rsidR="00053842" w:rsidRDefault="00CC2250">
            <w:pPr>
              <w:rPr>
                <w:rFonts w:ascii="Quicksand" w:eastAsia="Quicksand" w:hAnsi="Quicksand" w:cs="Quicksand"/>
                <w:color w:val="000000"/>
                <w:sz w:val="18"/>
                <w:szCs w:val="18"/>
              </w:rPr>
            </w:pPr>
            <w:r>
              <w:rPr>
                <w:rFonts w:ascii="Quicksand" w:eastAsia="Quicksand" w:hAnsi="Quicksand" w:cs="Quicksand"/>
                <w:b w:val="0"/>
                <w:color w:val="000000"/>
                <w:sz w:val="18"/>
                <w:szCs w:val="18"/>
              </w:rPr>
              <w:t>5. Situaciones de salud especiales y de interés en salud pública</w:t>
            </w:r>
          </w:p>
        </w:tc>
        <w:tc>
          <w:tcPr>
            <w:tcW w:w="1200" w:type="dxa"/>
          </w:tcPr>
          <w:p w14:paraId="0000013F"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10</w:t>
            </w:r>
          </w:p>
        </w:tc>
        <w:tc>
          <w:tcPr>
            <w:tcW w:w="1200" w:type="dxa"/>
          </w:tcPr>
          <w:p w14:paraId="00000140"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20</w:t>
            </w:r>
          </w:p>
        </w:tc>
      </w:tr>
      <w:tr w:rsidR="00053842" w14:paraId="51924023" w14:textId="77777777" w:rsidTr="00053842">
        <w:trPr>
          <w:trHeight w:val="142"/>
          <w:jc w:val="center"/>
        </w:trPr>
        <w:tc>
          <w:tcPr>
            <w:cnfStyle w:val="001000000000" w:firstRow="0" w:lastRow="0" w:firstColumn="1" w:lastColumn="0" w:oddVBand="0" w:evenVBand="0" w:oddHBand="0" w:evenHBand="0" w:firstRowFirstColumn="0" w:firstRowLastColumn="0" w:lastRowFirstColumn="0" w:lastRowLastColumn="0"/>
            <w:tcW w:w="5843" w:type="dxa"/>
          </w:tcPr>
          <w:p w14:paraId="00000141" w14:textId="77777777" w:rsidR="00053842" w:rsidRDefault="00CC2250">
            <w:pPr>
              <w:rPr>
                <w:rFonts w:ascii="Quicksand" w:eastAsia="Quicksand" w:hAnsi="Quicksand" w:cs="Quicksand"/>
                <w:color w:val="000000"/>
                <w:sz w:val="18"/>
                <w:szCs w:val="18"/>
              </w:rPr>
            </w:pPr>
            <w:r>
              <w:rPr>
                <w:rFonts w:ascii="Quicksand" w:eastAsia="Quicksand" w:hAnsi="Quicksand" w:cs="Quicksand"/>
                <w:b w:val="0"/>
                <w:color w:val="000000"/>
                <w:sz w:val="18"/>
                <w:szCs w:val="18"/>
              </w:rPr>
              <w:t>6. Enfermedades infecciosas desatendidas</w:t>
            </w:r>
          </w:p>
        </w:tc>
        <w:tc>
          <w:tcPr>
            <w:tcW w:w="1200" w:type="dxa"/>
          </w:tcPr>
          <w:p w14:paraId="00000142"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5</w:t>
            </w:r>
          </w:p>
        </w:tc>
        <w:tc>
          <w:tcPr>
            <w:tcW w:w="1200" w:type="dxa"/>
          </w:tcPr>
          <w:p w14:paraId="00000143"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10</w:t>
            </w:r>
          </w:p>
        </w:tc>
      </w:tr>
      <w:tr w:rsidR="00053842" w14:paraId="72B372ED" w14:textId="77777777" w:rsidTr="00053842">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5843" w:type="dxa"/>
          </w:tcPr>
          <w:p w14:paraId="00000144" w14:textId="77777777" w:rsidR="00053842" w:rsidRDefault="00CC2250">
            <w:pPr>
              <w:rPr>
                <w:rFonts w:ascii="Quicksand" w:eastAsia="Quicksand" w:hAnsi="Quicksand" w:cs="Quicksand"/>
                <w:color w:val="000000"/>
                <w:sz w:val="18"/>
                <w:szCs w:val="18"/>
              </w:rPr>
            </w:pPr>
            <w:r>
              <w:rPr>
                <w:rFonts w:ascii="Quicksand" w:eastAsia="Quicksand" w:hAnsi="Quicksand" w:cs="Quicksand"/>
                <w:b w:val="0"/>
                <w:color w:val="000000"/>
                <w:sz w:val="18"/>
                <w:szCs w:val="18"/>
              </w:rPr>
              <w:t>7. Adherencia a los programas de promoción y prevención del POS</w:t>
            </w:r>
          </w:p>
        </w:tc>
        <w:tc>
          <w:tcPr>
            <w:tcW w:w="1200" w:type="dxa"/>
          </w:tcPr>
          <w:p w14:paraId="00000145"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9</w:t>
            </w:r>
          </w:p>
        </w:tc>
        <w:tc>
          <w:tcPr>
            <w:tcW w:w="1200" w:type="dxa"/>
          </w:tcPr>
          <w:p w14:paraId="00000146"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18</w:t>
            </w:r>
          </w:p>
        </w:tc>
      </w:tr>
      <w:tr w:rsidR="00053842" w14:paraId="694CE3BC" w14:textId="77777777" w:rsidTr="00053842">
        <w:trPr>
          <w:trHeight w:val="209"/>
          <w:jc w:val="center"/>
        </w:trPr>
        <w:tc>
          <w:tcPr>
            <w:cnfStyle w:val="001000000000" w:firstRow="0" w:lastRow="0" w:firstColumn="1" w:lastColumn="0" w:oddVBand="0" w:evenVBand="0" w:oddHBand="0" w:evenHBand="0" w:firstRowFirstColumn="0" w:firstRowLastColumn="0" w:lastRowFirstColumn="0" w:lastRowLastColumn="0"/>
            <w:tcW w:w="5843" w:type="dxa"/>
          </w:tcPr>
          <w:p w14:paraId="00000147" w14:textId="77777777" w:rsidR="00053842" w:rsidRDefault="00CC2250">
            <w:pPr>
              <w:rPr>
                <w:rFonts w:ascii="Quicksand" w:eastAsia="Quicksand" w:hAnsi="Quicksand" w:cs="Quicksand"/>
                <w:color w:val="000000"/>
                <w:sz w:val="18"/>
                <w:szCs w:val="18"/>
              </w:rPr>
            </w:pPr>
            <w:r>
              <w:rPr>
                <w:rFonts w:ascii="Quicksand" w:eastAsia="Quicksand" w:hAnsi="Quicksand" w:cs="Quicksand"/>
                <w:b w:val="0"/>
                <w:color w:val="000000"/>
                <w:sz w:val="18"/>
                <w:szCs w:val="18"/>
              </w:rPr>
              <w:t>8. Eventos psicosociales en la familia</w:t>
            </w:r>
          </w:p>
        </w:tc>
        <w:tc>
          <w:tcPr>
            <w:tcW w:w="1200" w:type="dxa"/>
          </w:tcPr>
          <w:p w14:paraId="00000148"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4</w:t>
            </w:r>
          </w:p>
        </w:tc>
        <w:tc>
          <w:tcPr>
            <w:tcW w:w="1200" w:type="dxa"/>
          </w:tcPr>
          <w:p w14:paraId="00000149"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8</w:t>
            </w:r>
          </w:p>
        </w:tc>
      </w:tr>
      <w:tr w:rsidR="00053842" w14:paraId="45C98407" w14:textId="77777777" w:rsidTr="00053842">
        <w:trPr>
          <w:cnfStyle w:val="000000100000" w:firstRow="0" w:lastRow="0" w:firstColumn="0" w:lastColumn="0" w:oddVBand="0" w:evenVBand="0" w:oddHBand="1" w:evenHBand="0" w:firstRowFirstColumn="0" w:firstRowLastColumn="0" w:lastRowFirstColumn="0" w:lastRowLastColumn="0"/>
          <w:trHeight w:val="156"/>
          <w:jc w:val="center"/>
        </w:trPr>
        <w:tc>
          <w:tcPr>
            <w:cnfStyle w:val="001000000000" w:firstRow="0" w:lastRow="0" w:firstColumn="1" w:lastColumn="0" w:oddVBand="0" w:evenVBand="0" w:oddHBand="0" w:evenHBand="0" w:firstRowFirstColumn="0" w:firstRowLastColumn="0" w:lastRowFirstColumn="0" w:lastRowLastColumn="0"/>
            <w:tcW w:w="5843" w:type="dxa"/>
          </w:tcPr>
          <w:p w14:paraId="0000014A" w14:textId="77777777" w:rsidR="00053842" w:rsidRDefault="00CC2250">
            <w:pPr>
              <w:rPr>
                <w:rFonts w:ascii="Quicksand" w:eastAsia="Quicksand" w:hAnsi="Quicksand" w:cs="Quicksand"/>
                <w:color w:val="000000"/>
                <w:sz w:val="18"/>
                <w:szCs w:val="18"/>
              </w:rPr>
            </w:pPr>
            <w:r>
              <w:rPr>
                <w:rFonts w:ascii="Quicksand" w:eastAsia="Quicksand" w:hAnsi="Quicksand" w:cs="Quicksand"/>
                <w:b w:val="0"/>
                <w:color w:val="000000"/>
                <w:sz w:val="18"/>
                <w:szCs w:val="18"/>
              </w:rPr>
              <w:t>9. Indicadores de riesgo en el Apgar familiar</w:t>
            </w:r>
          </w:p>
        </w:tc>
        <w:tc>
          <w:tcPr>
            <w:tcW w:w="1200" w:type="dxa"/>
          </w:tcPr>
          <w:p w14:paraId="0000014B"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5</w:t>
            </w:r>
          </w:p>
        </w:tc>
        <w:tc>
          <w:tcPr>
            <w:tcW w:w="1200" w:type="dxa"/>
          </w:tcPr>
          <w:p w14:paraId="0000014C"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10</w:t>
            </w:r>
          </w:p>
        </w:tc>
      </w:tr>
      <w:tr w:rsidR="00053842" w14:paraId="5EDAED7D" w14:textId="77777777" w:rsidTr="00053842">
        <w:trPr>
          <w:trHeight w:val="104"/>
          <w:jc w:val="center"/>
        </w:trPr>
        <w:tc>
          <w:tcPr>
            <w:cnfStyle w:val="001000000000" w:firstRow="0" w:lastRow="0" w:firstColumn="1" w:lastColumn="0" w:oddVBand="0" w:evenVBand="0" w:oddHBand="0" w:evenHBand="0" w:firstRowFirstColumn="0" w:firstRowLastColumn="0" w:lastRowFirstColumn="0" w:lastRowLastColumn="0"/>
            <w:tcW w:w="5843" w:type="dxa"/>
          </w:tcPr>
          <w:p w14:paraId="0000014D" w14:textId="77777777" w:rsidR="00053842" w:rsidRDefault="00CC2250">
            <w:pPr>
              <w:rPr>
                <w:rFonts w:ascii="Quicksand" w:eastAsia="Quicksand" w:hAnsi="Quicksand" w:cs="Quicksand"/>
                <w:color w:val="000000"/>
                <w:sz w:val="18"/>
                <w:szCs w:val="18"/>
              </w:rPr>
            </w:pPr>
            <w:r>
              <w:rPr>
                <w:rFonts w:ascii="Quicksand" w:eastAsia="Quicksand" w:hAnsi="Quicksand" w:cs="Quicksand"/>
                <w:color w:val="000000"/>
                <w:sz w:val="18"/>
                <w:szCs w:val="18"/>
              </w:rPr>
              <w:t>Total</w:t>
            </w:r>
          </w:p>
        </w:tc>
        <w:tc>
          <w:tcPr>
            <w:tcW w:w="1200" w:type="dxa"/>
          </w:tcPr>
          <w:p w14:paraId="0000014E"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b/>
                <w:color w:val="000000"/>
                <w:sz w:val="18"/>
                <w:szCs w:val="18"/>
              </w:rPr>
            </w:pPr>
            <w:r>
              <w:rPr>
                <w:rFonts w:ascii="Quicksand" w:eastAsia="Quicksand" w:hAnsi="Quicksand" w:cs="Quicksand"/>
                <w:b/>
                <w:color w:val="000000"/>
                <w:sz w:val="18"/>
                <w:szCs w:val="18"/>
              </w:rPr>
              <w:t>62</w:t>
            </w:r>
          </w:p>
        </w:tc>
        <w:tc>
          <w:tcPr>
            <w:tcW w:w="1200" w:type="dxa"/>
          </w:tcPr>
          <w:p w14:paraId="0000014F"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b/>
                <w:color w:val="000000"/>
                <w:sz w:val="18"/>
                <w:szCs w:val="18"/>
              </w:rPr>
            </w:pPr>
            <w:r>
              <w:rPr>
                <w:rFonts w:ascii="Quicksand" w:eastAsia="Quicksand" w:hAnsi="Quicksand" w:cs="Quicksand"/>
                <w:b/>
                <w:color w:val="000000"/>
                <w:sz w:val="18"/>
                <w:szCs w:val="18"/>
              </w:rPr>
              <w:t>124</w:t>
            </w:r>
          </w:p>
        </w:tc>
      </w:tr>
    </w:tbl>
    <w:p w14:paraId="00000150" w14:textId="77777777" w:rsidR="00053842" w:rsidRDefault="00CC2250">
      <w:pPr>
        <w:spacing w:line="240" w:lineRule="auto"/>
        <w:ind w:right="615"/>
        <w:jc w:val="center"/>
        <w:rPr>
          <w:rFonts w:ascii="Calibri" w:eastAsia="Calibri" w:hAnsi="Calibri" w:cs="Calibri"/>
          <w:sz w:val="18"/>
          <w:szCs w:val="18"/>
        </w:rPr>
      </w:pPr>
      <w:r>
        <w:rPr>
          <w:rFonts w:ascii="Calibri" w:eastAsia="Calibri" w:hAnsi="Calibri" w:cs="Calibri"/>
          <w:sz w:val="18"/>
          <w:szCs w:val="18"/>
        </w:rPr>
        <w:t>Fuente: Vaupés Censo 2017-2018 Sinergias</w:t>
      </w:r>
    </w:p>
    <w:p w14:paraId="00000151" w14:textId="77777777" w:rsidR="00053842" w:rsidRDefault="00053842">
      <w:pPr>
        <w:spacing w:line="240" w:lineRule="auto"/>
        <w:ind w:right="615"/>
        <w:jc w:val="both"/>
        <w:rPr>
          <w:rFonts w:ascii="Calibri" w:eastAsia="Calibri" w:hAnsi="Calibri" w:cs="Calibri"/>
        </w:rPr>
      </w:pPr>
    </w:p>
    <w:p w14:paraId="00000152" w14:textId="77777777" w:rsidR="00053842" w:rsidRDefault="00CC2250">
      <w:pPr>
        <w:spacing w:after="160"/>
        <w:jc w:val="both"/>
        <w:rPr>
          <w:rFonts w:ascii="Quicksand" w:eastAsia="Quicksand" w:hAnsi="Quicksand" w:cs="Quicksand"/>
        </w:rPr>
      </w:pPr>
      <w:r>
        <w:rPr>
          <w:rFonts w:ascii="Quicksand" w:eastAsia="Quicksand" w:hAnsi="Quicksand" w:cs="Quicksand"/>
        </w:rPr>
        <w:t>Al final se suman los puntajes de las nueve categorías y el puntaje total permite identificar las familias que requieren un seguimiento más estrecho. El máximo puntaje que puede obtener una familia es 124, si todas</w:t>
      </w:r>
      <w:r>
        <w:rPr>
          <w:rFonts w:ascii="Quicksand" w:eastAsia="Quicksand" w:hAnsi="Quicksand" w:cs="Quicksand"/>
        </w:rPr>
        <w:t xml:space="preserve"> las variables incluidas se califican como factores protectores. Una familia con un puntaje total de más de 99 puntos (80%) será clasificada con bajo riesgo, una que tenga entre 72 (58%) y 98 puntos de riesgo medio y una con 71 puntos o menos, de alto ries</w:t>
      </w:r>
      <w:r>
        <w:rPr>
          <w:rFonts w:ascii="Quicksand" w:eastAsia="Quicksand" w:hAnsi="Quicksand" w:cs="Quicksand"/>
        </w:rPr>
        <w:t>go. (Tabla 4)</w:t>
      </w:r>
    </w:p>
    <w:p w14:paraId="00000153" w14:textId="77777777" w:rsidR="00053842" w:rsidRDefault="00CC2250">
      <w:pPr>
        <w:spacing w:after="160"/>
        <w:jc w:val="both"/>
        <w:rPr>
          <w:rFonts w:ascii="Quicksand" w:eastAsia="Quicksand" w:hAnsi="Quicksand" w:cs="Quicksand"/>
        </w:rPr>
      </w:pPr>
      <w:r>
        <w:rPr>
          <w:rFonts w:ascii="Quicksand" w:eastAsia="Quicksand" w:hAnsi="Quicksand" w:cs="Quicksand"/>
        </w:rPr>
        <w:t xml:space="preserve">A continuación, se muestran los resultados comparativos de la visita inicial y la visita de seguimiento. </w:t>
      </w:r>
    </w:p>
    <w:p w14:paraId="00000154" w14:textId="77777777" w:rsidR="00053842" w:rsidRDefault="00CC2250">
      <w:pPr>
        <w:spacing w:after="160"/>
        <w:jc w:val="both"/>
        <w:rPr>
          <w:rFonts w:ascii="Quicksand" w:eastAsia="Quicksand" w:hAnsi="Quicksand" w:cs="Quicksand"/>
        </w:rPr>
      </w:pPr>
      <w:r>
        <w:rPr>
          <w:rFonts w:ascii="Quicksand" w:eastAsia="Quicksand" w:hAnsi="Quicksand" w:cs="Quicksand"/>
        </w:rPr>
        <w:lastRenderedPageBreak/>
        <w:t>Como se muestra en el Gráfico 1, en general hubo un aumento de 7 puntos porcentuales en el puntaje total de las familias visitadas. La z</w:t>
      </w:r>
      <w:r>
        <w:rPr>
          <w:rFonts w:ascii="Quicksand" w:eastAsia="Quicksand" w:hAnsi="Quicksand" w:cs="Quicksand"/>
        </w:rPr>
        <w:t>ona que mayor aumento presentó fue la de Macaquiño, con 18 puntos porcentuales de más, seguida de Wacará con 14. En la zona de Pueblo Nuevo hubo una disminución de 10 puntos porcentuales.</w:t>
      </w:r>
    </w:p>
    <w:p w14:paraId="00000155" w14:textId="77777777" w:rsidR="00053842" w:rsidRDefault="00CC2250">
      <w:pPr>
        <w:jc w:val="center"/>
        <w:rPr>
          <w:rFonts w:ascii="Quicksand" w:eastAsia="Quicksand" w:hAnsi="Quicksand" w:cs="Quicksand"/>
          <w:color w:val="7F7F7F"/>
          <w:sz w:val="20"/>
          <w:szCs w:val="20"/>
        </w:rPr>
      </w:pPr>
      <w:r>
        <w:rPr>
          <w:rFonts w:ascii="Quicksand" w:eastAsia="Quicksand" w:hAnsi="Quicksand" w:cs="Quicksand"/>
          <w:color w:val="7F7F7F"/>
          <w:sz w:val="20"/>
          <w:szCs w:val="20"/>
        </w:rPr>
        <w:t>Gráfico 1: Puntaje total de las visitas domiciliarias en familias co</w:t>
      </w:r>
      <w:r>
        <w:rPr>
          <w:rFonts w:ascii="Quicksand" w:eastAsia="Quicksand" w:hAnsi="Quicksand" w:cs="Quicksand"/>
          <w:color w:val="7F7F7F"/>
          <w:sz w:val="20"/>
          <w:szCs w:val="20"/>
        </w:rPr>
        <w:t>n seguimiento por punto de atención. Zona suburbana de Mitú.</w:t>
      </w:r>
    </w:p>
    <w:p w14:paraId="00000156" w14:textId="77777777" w:rsidR="00053842" w:rsidRDefault="00CC2250">
      <w:pPr>
        <w:keepNext/>
        <w:spacing w:line="259" w:lineRule="auto"/>
        <w:jc w:val="center"/>
        <w:rPr>
          <w:rFonts w:ascii="Quicksand" w:eastAsia="Quicksand" w:hAnsi="Quicksand" w:cs="Quicksand"/>
        </w:rPr>
      </w:pPr>
      <w:r>
        <w:rPr>
          <w:rFonts w:ascii="Quicksand" w:eastAsia="Quicksand" w:hAnsi="Quicksand" w:cs="Quicksand"/>
          <w:noProof/>
        </w:rPr>
        <w:drawing>
          <wp:inline distT="0" distB="0" distL="0" distR="0">
            <wp:extent cx="4964131" cy="3515268"/>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
                    <a:srcRect/>
                    <a:stretch>
                      <a:fillRect/>
                    </a:stretch>
                  </pic:blipFill>
                  <pic:spPr>
                    <a:xfrm>
                      <a:off x="0" y="0"/>
                      <a:ext cx="4964131" cy="3515268"/>
                    </a:xfrm>
                    <a:prstGeom prst="rect">
                      <a:avLst/>
                    </a:prstGeom>
                    <a:ln/>
                  </pic:spPr>
                </pic:pic>
              </a:graphicData>
            </a:graphic>
          </wp:inline>
        </w:drawing>
      </w:r>
    </w:p>
    <w:p w14:paraId="00000157" w14:textId="77777777" w:rsidR="00053842" w:rsidRDefault="00CC2250">
      <w:pPr>
        <w:keepNext/>
        <w:spacing w:after="160" w:line="259" w:lineRule="auto"/>
        <w:jc w:val="center"/>
        <w:rPr>
          <w:rFonts w:ascii="Quicksand" w:eastAsia="Quicksand" w:hAnsi="Quicksand" w:cs="Quicksand"/>
          <w:color w:val="808080"/>
          <w:sz w:val="18"/>
          <w:szCs w:val="18"/>
        </w:rPr>
      </w:pPr>
      <w:r>
        <w:rPr>
          <w:rFonts w:ascii="Quicksand" w:eastAsia="Quicksand" w:hAnsi="Quicksand" w:cs="Quicksand"/>
          <w:color w:val="808080"/>
          <w:sz w:val="18"/>
          <w:szCs w:val="18"/>
        </w:rPr>
        <w:t>Fuente Sinergias 2018</w:t>
      </w:r>
    </w:p>
    <w:p w14:paraId="00000158" w14:textId="77777777" w:rsidR="00053842" w:rsidRDefault="00CC2250">
      <w:pPr>
        <w:spacing w:after="160"/>
        <w:jc w:val="both"/>
        <w:rPr>
          <w:rFonts w:ascii="Quicksand" w:eastAsia="Quicksand" w:hAnsi="Quicksand" w:cs="Quicksand"/>
        </w:rPr>
      </w:pPr>
      <w:r>
        <w:rPr>
          <w:rFonts w:ascii="Quicksand" w:eastAsia="Quicksand" w:hAnsi="Quicksand" w:cs="Quicksand"/>
        </w:rPr>
        <w:t>Las explicaciones de estos puntajes, de acuerdo al acompañamiento y observación directa de los auxiliares se resumen en la table a continuación.</w:t>
      </w:r>
    </w:p>
    <w:p w14:paraId="00000159" w14:textId="77777777" w:rsidR="00053842" w:rsidRDefault="00053842">
      <w:pPr>
        <w:jc w:val="center"/>
        <w:rPr>
          <w:rFonts w:ascii="Quicksand" w:eastAsia="Quicksand" w:hAnsi="Quicksand" w:cs="Quicksand"/>
          <w:color w:val="7F7F7F"/>
          <w:sz w:val="20"/>
          <w:szCs w:val="20"/>
        </w:rPr>
      </w:pPr>
    </w:p>
    <w:p w14:paraId="0000015A" w14:textId="77777777" w:rsidR="00053842" w:rsidRDefault="00CC2250">
      <w:pPr>
        <w:jc w:val="center"/>
        <w:rPr>
          <w:rFonts w:ascii="Quicksand" w:eastAsia="Quicksand" w:hAnsi="Quicksand" w:cs="Quicksand"/>
          <w:sz w:val="20"/>
          <w:szCs w:val="20"/>
        </w:rPr>
      </w:pPr>
      <w:r>
        <w:rPr>
          <w:rFonts w:ascii="Quicksand" w:eastAsia="Quicksand" w:hAnsi="Quicksand" w:cs="Quicksand"/>
          <w:color w:val="7F7F7F"/>
          <w:sz w:val="20"/>
          <w:szCs w:val="20"/>
        </w:rPr>
        <w:t>Tabla 5. Contexto que acompaña los cambios en la valoración de riesgo familiar.</w:t>
      </w:r>
    </w:p>
    <w:tbl>
      <w:tblPr>
        <w:tblStyle w:val="a2"/>
        <w:tblW w:w="9204" w:type="dxa"/>
        <w:tblInd w:w="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1129"/>
        <w:gridCol w:w="993"/>
        <w:gridCol w:w="7082"/>
      </w:tblGrid>
      <w:tr w:rsidR="00053842" w14:paraId="0FD5B24C" w14:textId="77777777" w:rsidTr="000538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000015B" w14:textId="77777777" w:rsidR="00053842" w:rsidRDefault="00CC2250">
            <w:pPr>
              <w:spacing w:line="276" w:lineRule="auto"/>
              <w:jc w:val="both"/>
              <w:rPr>
                <w:rFonts w:ascii="Quicksand" w:eastAsia="Quicksand" w:hAnsi="Quicksand" w:cs="Quicksand"/>
                <w:sz w:val="18"/>
                <w:szCs w:val="18"/>
              </w:rPr>
            </w:pPr>
            <w:r>
              <w:rPr>
                <w:rFonts w:ascii="Quicksand" w:eastAsia="Quicksand" w:hAnsi="Quicksand" w:cs="Quicksand"/>
                <w:sz w:val="18"/>
                <w:szCs w:val="18"/>
              </w:rPr>
              <w:t>Punto de Atención</w:t>
            </w:r>
          </w:p>
        </w:tc>
        <w:tc>
          <w:tcPr>
            <w:tcW w:w="993" w:type="dxa"/>
          </w:tcPr>
          <w:p w14:paraId="0000015C" w14:textId="77777777" w:rsidR="00053842" w:rsidRDefault="00CC2250">
            <w:pPr>
              <w:spacing w:line="276" w:lineRule="auto"/>
              <w:jc w:val="both"/>
              <w:cnfStyle w:val="100000000000" w:firstRow="1"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Cambio</w:t>
            </w:r>
          </w:p>
        </w:tc>
        <w:tc>
          <w:tcPr>
            <w:tcW w:w="7082" w:type="dxa"/>
          </w:tcPr>
          <w:p w14:paraId="0000015D" w14:textId="77777777" w:rsidR="00053842" w:rsidRDefault="00CC2250">
            <w:pPr>
              <w:spacing w:line="276" w:lineRule="auto"/>
              <w:jc w:val="both"/>
              <w:cnfStyle w:val="100000000000" w:firstRow="1"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Explicación del cambio</w:t>
            </w:r>
          </w:p>
        </w:tc>
      </w:tr>
      <w:tr w:rsidR="00053842" w14:paraId="1425D7F1" w14:textId="77777777" w:rsidTr="00053842">
        <w:tc>
          <w:tcPr>
            <w:cnfStyle w:val="001000000000" w:firstRow="0" w:lastRow="0" w:firstColumn="1" w:lastColumn="0" w:oddVBand="0" w:evenVBand="0" w:oddHBand="0" w:evenHBand="0" w:firstRowFirstColumn="0" w:firstRowLastColumn="0" w:lastRowFirstColumn="0" w:lastRowLastColumn="0"/>
            <w:tcW w:w="1129" w:type="dxa"/>
          </w:tcPr>
          <w:p w14:paraId="0000015E" w14:textId="77777777" w:rsidR="00053842" w:rsidRDefault="00CC2250">
            <w:pPr>
              <w:spacing w:line="276" w:lineRule="auto"/>
              <w:jc w:val="both"/>
              <w:rPr>
                <w:rFonts w:ascii="Quicksand" w:eastAsia="Quicksand" w:hAnsi="Quicksand" w:cs="Quicksand"/>
                <w:sz w:val="18"/>
                <w:szCs w:val="18"/>
              </w:rPr>
            </w:pPr>
            <w:r>
              <w:rPr>
                <w:rFonts w:ascii="Quicksand" w:eastAsia="Quicksand" w:hAnsi="Quicksand" w:cs="Quicksand"/>
                <w:sz w:val="18"/>
                <w:szCs w:val="18"/>
              </w:rPr>
              <w:t>Santa Marta</w:t>
            </w:r>
          </w:p>
        </w:tc>
        <w:tc>
          <w:tcPr>
            <w:tcW w:w="993" w:type="dxa"/>
          </w:tcPr>
          <w:p w14:paraId="0000015F" w14:textId="77777777" w:rsidR="00053842" w:rsidRDefault="00CC2250">
            <w:pPr>
              <w:spacing w:line="276" w:lineRule="auto"/>
              <w:jc w:val="both"/>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Cardo" w:eastAsia="Cardo" w:hAnsi="Cardo" w:cs="Cardo"/>
                <w:sz w:val="18"/>
                <w:szCs w:val="18"/>
              </w:rPr>
              <w:t>↓</w:t>
            </w:r>
            <w:r>
              <w:rPr>
                <w:rFonts w:ascii="Quicksand" w:eastAsia="Quicksand" w:hAnsi="Quicksand" w:cs="Quicksand"/>
                <w:sz w:val="18"/>
                <w:szCs w:val="18"/>
              </w:rPr>
              <w:t xml:space="preserve"> (1%)</w:t>
            </w:r>
          </w:p>
        </w:tc>
        <w:tc>
          <w:tcPr>
            <w:tcW w:w="7082" w:type="dxa"/>
          </w:tcPr>
          <w:p w14:paraId="00000160" w14:textId="77777777" w:rsidR="00053842" w:rsidRDefault="00CC2250">
            <w:pPr>
              <w:spacing w:line="276" w:lineRule="auto"/>
              <w:jc w:val="both"/>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Mejoró uso del instructivo de la ficha. Mejoró la comunicación y confianza entre el auxiliar y las familias, lo cual se ve reflejado en mayor veracidad de la información dada por las familias.</w:t>
            </w:r>
          </w:p>
        </w:tc>
      </w:tr>
      <w:tr w:rsidR="00053842" w14:paraId="0AD9F339" w14:textId="77777777" w:rsidTr="00053842">
        <w:tc>
          <w:tcPr>
            <w:cnfStyle w:val="001000000000" w:firstRow="0" w:lastRow="0" w:firstColumn="1" w:lastColumn="0" w:oddVBand="0" w:evenVBand="0" w:oddHBand="0" w:evenHBand="0" w:firstRowFirstColumn="0" w:firstRowLastColumn="0" w:lastRowFirstColumn="0" w:lastRowLastColumn="0"/>
            <w:tcW w:w="1129" w:type="dxa"/>
          </w:tcPr>
          <w:p w14:paraId="00000161" w14:textId="77777777" w:rsidR="00053842" w:rsidRDefault="00CC2250">
            <w:pPr>
              <w:spacing w:line="276" w:lineRule="auto"/>
              <w:jc w:val="both"/>
              <w:rPr>
                <w:rFonts w:ascii="Quicksand" w:eastAsia="Quicksand" w:hAnsi="Quicksand" w:cs="Quicksand"/>
                <w:sz w:val="18"/>
                <w:szCs w:val="18"/>
              </w:rPr>
            </w:pPr>
            <w:r>
              <w:rPr>
                <w:rFonts w:ascii="Quicksand" w:eastAsia="Quicksand" w:hAnsi="Quicksand" w:cs="Quicksand"/>
                <w:sz w:val="18"/>
                <w:szCs w:val="18"/>
              </w:rPr>
              <w:t>Macaquiño</w:t>
            </w:r>
          </w:p>
        </w:tc>
        <w:tc>
          <w:tcPr>
            <w:tcW w:w="993" w:type="dxa"/>
          </w:tcPr>
          <w:p w14:paraId="00000162" w14:textId="77777777" w:rsidR="00053842" w:rsidRDefault="00CC2250">
            <w:pPr>
              <w:spacing w:line="276" w:lineRule="auto"/>
              <w:jc w:val="both"/>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Cardo" w:eastAsia="Cardo" w:hAnsi="Cardo" w:cs="Cardo"/>
                <w:sz w:val="18"/>
                <w:szCs w:val="18"/>
              </w:rPr>
              <w:t>↑</w:t>
            </w:r>
            <w:r>
              <w:rPr>
                <w:rFonts w:ascii="Quicksand" w:eastAsia="Quicksand" w:hAnsi="Quicksand" w:cs="Quicksand"/>
                <w:sz w:val="18"/>
                <w:szCs w:val="18"/>
              </w:rPr>
              <w:t xml:space="preserve"> (18%)</w:t>
            </w:r>
          </w:p>
        </w:tc>
        <w:tc>
          <w:tcPr>
            <w:tcW w:w="7082" w:type="dxa"/>
          </w:tcPr>
          <w:p w14:paraId="00000163" w14:textId="77777777" w:rsidR="00053842" w:rsidRDefault="00CC2250">
            <w:pPr>
              <w:spacing w:line="276" w:lineRule="auto"/>
              <w:jc w:val="both"/>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Esfuerzo de familias para mejorar sus condiciones de salud, mejoró la comunicación del auxiliar con las familias. Estrategia de visitar más de 2 veces al mes a las familias, sin usar la ficha, sino únicamente para animar a las mismas en la ejecución del pl</w:t>
            </w:r>
            <w:r>
              <w:rPr>
                <w:rFonts w:ascii="Quicksand" w:eastAsia="Quicksand" w:hAnsi="Quicksand" w:cs="Quicksand"/>
                <w:sz w:val="18"/>
                <w:szCs w:val="18"/>
              </w:rPr>
              <w:t xml:space="preserve">an. </w:t>
            </w:r>
          </w:p>
        </w:tc>
      </w:tr>
      <w:tr w:rsidR="00053842" w14:paraId="66548DCC" w14:textId="77777777" w:rsidTr="00053842">
        <w:tc>
          <w:tcPr>
            <w:cnfStyle w:val="001000000000" w:firstRow="0" w:lastRow="0" w:firstColumn="1" w:lastColumn="0" w:oddVBand="0" w:evenVBand="0" w:oddHBand="0" w:evenHBand="0" w:firstRowFirstColumn="0" w:firstRowLastColumn="0" w:lastRowFirstColumn="0" w:lastRowLastColumn="0"/>
            <w:tcW w:w="1129" w:type="dxa"/>
          </w:tcPr>
          <w:p w14:paraId="00000164" w14:textId="77777777" w:rsidR="00053842" w:rsidRDefault="00CC2250">
            <w:pPr>
              <w:spacing w:line="276" w:lineRule="auto"/>
              <w:jc w:val="both"/>
              <w:rPr>
                <w:rFonts w:ascii="Quicksand" w:eastAsia="Quicksand" w:hAnsi="Quicksand" w:cs="Quicksand"/>
                <w:sz w:val="18"/>
                <w:szCs w:val="18"/>
              </w:rPr>
            </w:pPr>
            <w:r>
              <w:rPr>
                <w:rFonts w:ascii="Quicksand" w:eastAsia="Quicksand" w:hAnsi="Quicksand" w:cs="Quicksand"/>
                <w:sz w:val="18"/>
                <w:szCs w:val="18"/>
              </w:rPr>
              <w:t>Wacará</w:t>
            </w:r>
          </w:p>
        </w:tc>
        <w:tc>
          <w:tcPr>
            <w:tcW w:w="993" w:type="dxa"/>
          </w:tcPr>
          <w:p w14:paraId="00000165" w14:textId="77777777" w:rsidR="00053842" w:rsidRDefault="00CC225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Cardo" w:eastAsia="Cardo" w:hAnsi="Cardo" w:cs="Cardo"/>
                <w:sz w:val="18"/>
                <w:szCs w:val="18"/>
              </w:rPr>
              <w:t>↑</w:t>
            </w:r>
            <w:r>
              <w:rPr>
                <w:rFonts w:ascii="Quicksand" w:eastAsia="Quicksand" w:hAnsi="Quicksand" w:cs="Quicksand"/>
                <w:sz w:val="18"/>
                <w:szCs w:val="18"/>
              </w:rPr>
              <w:t xml:space="preserve"> (14%)</w:t>
            </w:r>
          </w:p>
        </w:tc>
        <w:tc>
          <w:tcPr>
            <w:tcW w:w="7082" w:type="dxa"/>
          </w:tcPr>
          <w:p w14:paraId="00000166" w14:textId="77777777" w:rsidR="00053842" w:rsidRDefault="00CC2250">
            <w:pPr>
              <w:spacing w:line="276" w:lineRule="auto"/>
              <w:jc w:val="both"/>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Apoyo de profesores en diálogo con las familias en diferentes espacios de reunión institucional. Estrategia de visitar las familias más de 2 veces al mes para recordar compromisos y reforzar educación en la ejecución del plan (especial</w:t>
            </w:r>
            <w:r>
              <w:rPr>
                <w:rFonts w:ascii="Quicksand" w:eastAsia="Quicksand" w:hAnsi="Quicksand" w:cs="Quicksand"/>
                <w:sz w:val="18"/>
                <w:szCs w:val="18"/>
              </w:rPr>
              <w:t xml:space="preserve">mente en temas de limpieza y aseo de tazas sanitarias). </w:t>
            </w:r>
          </w:p>
        </w:tc>
      </w:tr>
      <w:tr w:rsidR="00053842" w14:paraId="54D0BEDF" w14:textId="77777777" w:rsidTr="00053842">
        <w:tc>
          <w:tcPr>
            <w:cnfStyle w:val="001000000000" w:firstRow="0" w:lastRow="0" w:firstColumn="1" w:lastColumn="0" w:oddVBand="0" w:evenVBand="0" w:oddHBand="0" w:evenHBand="0" w:firstRowFirstColumn="0" w:firstRowLastColumn="0" w:lastRowFirstColumn="0" w:lastRowLastColumn="0"/>
            <w:tcW w:w="1129" w:type="dxa"/>
          </w:tcPr>
          <w:p w14:paraId="00000167" w14:textId="77777777" w:rsidR="00053842" w:rsidRDefault="00CC2250">
            <w:pPr>
              <w:spacing w:line="276" w:lineRule="auto"/>
              <w:jc w:val="both"/>
              <w:rPr>
                <w:rFonts w:ascii="Quicksand" w:eastAsia="Quicksand" w:hAnsi="Quicksand" w:cs="Quicksand"/>
                <w:sz w:val="18"/>
                <w:szCs w:val="18"/>
              </w:rPr>
            </w:pPr>
            <w:r>
              <w:rPr>
                <w:rFonts w:ascii="Quicksand" w:eastAsia="Quicksand" w:hAnsi="Quicksand" w:cs="Quicksand"/>
                <w:sz w:val="18"/>
                <w:szCs w:val="18"/>
              </w:rPr>
              <w:t>Pueblo Nuevo</w:t>
            </w:r>
          </w:p>
        </w:tc>
        <w:tc>
          <w:tcPr>
            <w:tcW w:w="993" w:type="dxa"/>
          </w:tcPr>
          <w:p w14:paraId="00000168" w14:textId="77777777" w:rsidR="00053842" w:rsidRDefault="00CC225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Cardo" w:eastAsia="Cardo" w:hAnsi="Cardo" w:cs="Cardo"/>
                <w:sz w:val="18"/>
                <w:szCs w:val="18"/>
              </w:rPr>
              <w:t>↓</w:t>
            </w:r>
            <w:r>
              <w:rPr>
                <w:rFonts w:ascii="Quicksand" w:eastAsia="Quicksand" w:hAnsi="Quicksand" w:cs="Quicksand"/>
                <w:sz w:val="18"/>
                <w:szCs w:val="18"/>
              </w:rPr>
              <w:t xml:space="preserve"> (11%)</w:t>
            </w:r>
          </w:p>
        </w:tc>
        <w:tc>
          <w:tcPr>
            <w:tcW w:w="7082" w:type="dxa"/>
          </w:tcPr>
          <w:p w14:paraId="00000169" w14:textId="77777777" w:rsidR="00053842" w:rsidRDefault="00CC2250">
            <w:pPr>
              <w:spacing w:line="276" w:lineRule="auto"/>
              <w:jc w:val="both"/>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En 2ª. valoración familiar se hizo un uso más estricto del instructivo, las familias fueron más conscientes en identificar los verdaderos factores de riesgo y propositivos en la</w:t>
            </w:r>
            <w:r>
              <w:rPr>
                <w:rFonts w:ascii="Quicksand" w:eastAsia="Quicksand" w:hAnsi="Quicksand" w:cs="Quicksand"/>
                <w:sz w:val="18"/>
                <w:szCs w:val="18"/>
              </w:rPr>
              <w:t xml:space="preserve"> búsqueda de soluciones. </w:t>
            </w:r>
          </w:p>
        </w:tc>
      </w:tr>
      <w:tr w:rsidR="00053842" w14:paraId="67376333" w14:textId="77777777" w:rsidTr="00053842">
        <w:trPr>
          <w:trHeight w:val="883"/>
        </w:trPr>
        <w:tc>
          <w:tcPr>
            <w:cnfStyle w:val="001000000000" w:firstRow="0" w:lastRow="0" w:firstColumn="1" w:lastColumn="0" w:oddVBand="0" w:evenVBand="0" w:oddHBand="0" w:evenHBand="0" w:firstRowFirstColumn="0" w:firstRowLastColumn="0" w:lastRowFirstColumn="0" w:lastRowLastColumn="0"/>
            <w:tcW w:w="1129" w:type="dxa"/>
          </w:tcPr>
          <w:p w14:paraId="0000016A" w14:textId="77777777" w:rsidR="00053842" w:rsidRDefault="00CC2250">
            <w:pPr>
              <w:spacing w:line="276" w:lineRule="auto"/>
              <w:jc w:val="both"/>
              <w:rPr>
                <w:rFonts w:ascii="Quicksand" w:eastAsia="Quicksand" w:hAnsi="Quicksand" w:cs="Quicksand"/>
                <w:sz w:val="18"/>
                <w:szCs w:val="18"/>
              </w:rPr>
            </w:pPr>
            <w:r>
              <w:rPr>
                <w:rFonts w:ascii="Quicksand" w:eastAsia="Quicksand" w:hAnsi="Quicksand" w:cs="Quicksand"/>
                <w:sz w:val="18"/>
                <w:szCs w:val="18"/>
              </w:rPr>
              <w:lastRenderedPageBreak/>
              <w:t>Timbó</w:t>
            </w:r>
          </w:p>
        </w:tc>
        <w:tc>
          <w:tcPr>
            <w:tcW w:w="993" w:type="dxa"/>
          </w:tcPr>
          <w:p w14:paraId="0000016B" w14:textId="77777777" w:rsidR="00053842" w:rsidRDefault="00CC225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Cardo" w:eastAsia="Cardo" w:hAnsi="Cardo" w:cs="Cardo"/>
                <w:sz w:val="18"/>
                <w:szCs w:val="18"/>
              </w:rPr>
              <w:t>↑</w:t>
            </w:r>
            <w:r>
              <w:rPr>
                <w:rFonts w:ascii="Quicksand" w:eastAsia="Quicksand" w:hAnsi="Quicksand" w:cs="Quicksand"/>
                <w:sz w:val="18"/>
                <w:szCs w:val="18"/>
              </w:rPr>
              <w:t xml:space="preserve"> (12%)</w:t>
            </w:r>
          </w:p>
        </w:tc>
        <w:tc>
          <w:tcPr>
            <w:tcW w:w="7082" w:type="dxa"/>
          </w:tcPr>
          <w:p w14:paraId="0000016C" w14:textId="77777777" w:rsidR="00053842" w:rsidRDefault="00CC2250">
            <w:pPr>
              <w:spacing w:line="276" w:lineRule="auto"/>
              <w:jc w:val="both"/>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sz w:val="18"/>
                <w:szCs w:val="18"/>
              </w:rPr>
              <w:t xml:space="preserve">Mayor claridad en el instructivo, mejoró la adherencia a los programas de P y P con visita de un grupo extramural de salud, que realizó actividades de atención y P y P en las comunidades de la zona, a excepción de Tucandira. </w:t>
            </w:r>
          </w:p>
        </w:tc>
      </w:tr>
    </w:tbl>
    <w:p w14:paraId="0000016D" w14:textId="77777777" w:rsidR="00053842" w:rsidRDefault="00053842">
      <w:pPr>
        <w:spacing w:after="160"/>
        <w:jc w:val="both"/>
        <w:rPr>
          <w:rFonts w:ascii="Quicksand" w:eastAsia="Quicksand" w:hAnsi="Quicksand" w:cs="Quicksand"/>
        </w:rPr>
      </w:pPr>
    </w:p>
    <w:p w14:paraId="0000016E" w14:textId="77777777" w:rsidR="00053842" w:rsidRDefault="00CC2250">
      <w:pPr>
        <w:spacing w:after="160"/>
        <w:jc w:val="both"/>
        <w:rPr>
          <w:rFonts w:ascii="Quicksand" w:eastAsia="Quicksand" w:hAnsi="Quicksand" w:cs="Quicksand"/>
        </w:rPr>
      </w:pPr>
      <w:r>
        <w:rPr>
          <w:rFonts w:ascii="Quicksand" w:eastAsia="Quicksand" w:hAnsi="Quicksand" w:cs="Quicksand"/>
        </w:rPr>
        <w:t>A pesar de los cambios, se s</w:t>
      </w:r>
      <w:r>
        <w:rPr>
          <w:rFonts w:ascii="Quicksand" w:eastAsia="Quicksand" w:hAnsi="Quicksand" w:cs="Quicksand"/>
        </w:rPr>
        <w:t xml:space="preserve">iguen encontrando familias que no trabajan en el plan de mejora, pues si bien están conscientes del riesgo no realizan las acciones necesarias para transformar las condiciones y continúan igual. Uno de los elementos claves para la mejoría del indicador en </w:t>
      </w:r>
      <w:r>
        <w:rPr>
          <w:rFonts w:ascii="Quicksand" w:eastAsia="Quicksand" w:hAnsi="Quicksand" w:cs="Quicksand"/>
        </w:rPr>
        <w:t>esta zona fue la socialización de los resultados de la primera visita tanto a nivel comunitario como familiar.</w:t>
      </w:r>
    </w:p>
    <w:p w14:paraId="0000016F" w14:textId="77777777" w:rsidR="00053842" w:rsidRDefault="00CC2250">
      <w:pPr>
        <w:spacing w:after="160"/>
        <w:jc w:val="both"/>
        <w:rPr>
          <w:rFonts w:ascii="Quicksand" w:eastAsia="Quicksand" w:hAnsi="Quicksand" w:cs="Quicksand"/>
        </w:rPr>
      </w:pPr>
      <w:r>
        <w:rPr>
          <w:rFonts w:ascii="Quicksand" w:eastAsia="Quicksand" w:hAnsi="Quicksand" w:cs="Quicksand"/>
        </w:rPr>
        <w:t>Al hacer el análisis desagregado por comunidad, se evidencia que Bogotá Cachivera, Macaquiño y Tucunaré son las comunidades que mayor aumento pre</w:t>
      </w:r>
      <w:r>
        <w:rPr>
          <w:rFonts w:ascii="Quicksand" w:eastAsia="Quicksand" w:hAnsi="Quicksand" w:cs="Quicksand"/>
        </w:rPr>
        <w:t>sentaron con respecto a la línea de base, mientras que Garrafa y Pueblo Nuevo fueron las que presentaron disminuciones importantes frente a la línea de base. (Gráfico 2)</w:t>
      </w:r>
    </w:p>
    <w:p w14:paraId="00000170" w14:textId="77777777" w:rsidR="00053842" w:rsidRDefault="00CC2250">
      <w:pPr>
        <w:jc w:val="center"/>
        <w:rPr>
          <w:rFonts w:ascii="Calibri" w:eastAsia="Calibri" w:hAnsi="Calibri" w:cs="Calibri"/>
          <w:color w:val="7F7F7F"/>
          <w:sz w:val="20"/>
          <w:szCs w:val="20"/>
        </w:rPr>
      </w:pPr>
      <w:r>
        <w:rPr>
          <w:rFonts w:ascii="Calibri" w:eastAsia="Calibri" w:hAnsi="Calibri" w:cs="Calibri"/>
          <w:color w:val="7F7F7F"/>
          <w:sz w:val="20"/>
          <w:szCs w:val="20"/>
        </w:rPr>
        <w:t xml:space="preserve">Gráfico 2: Puntaje total de las visitas domiciliarias en familias con seguimiento por </w:t>
      </w:r>
      <w:r>
        <w:rPr>
          <w:rFonts w:ascii="Calibri" w:eastAsia="Calibri" w:hAnsi="Calibri" w:cs="Calibri"/>
          <w:color w:val="7F7F7F"/>
          <w:sz w:val="20"/>
          <w:szCs w:val="20"/>
        </w:rPr>
        <w:t>comunidad. Zona suburbana de Mitú.</w:t>
      </w:r>
    </w:p>
    <w:p w14:paraId="00000171" w14:textId="77777777" w:rsidR="00053842" w:rsidRDefault="00CC2250">
      <w:pPr>
        <w:jc w:val="center"/>
        <w:rPr>
          <w:rFonts w:ascii="Quicksand" w:eastAsia="Quicksand" w:hAnsi="Quicksand" w:cs="Quicksand"/>
          <w:b/>
          <w:sz w:val="20"/>
          <w:szCs w:val="20"/>
        </w:rPr>
      </w:pPr>
      <w:r>
        <w:rPr>
          <w:rFonts w:ascii="Quicksand" w:eastAsia="Quicksand" w:hAnsi="Quicksand" w:cs="Quicksand"/>
          <w:b/>
          <w:sz w:val="20"/>
          <w:szCs w:val="20"/>
        </w:rPr>
        <w:t xml:space="preserve"> </w:t>
      </w:r>
      <w:r>
        <w:rPr>
          <w:rFonts w:ascii="Quicksand" w:eastAsia="Quicksand" w:hAnsi="Quicksand" w:cs="Quicksand"/>
          <w:b/>
          <w:noProof/>
          <w:sz w:val="20"/>
          <w:szCs w:val="20"/>
        </w:rPr>
        <w:drawing>
          <wp:inline distT="0" distB="0" distL="0" distR="0">
            <wp:extent cx="5371951" cy="3831585"/>
            <wp:effectExtent l="0" t="0" r="0" b="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
                    <a:srcRect/>
                    <a:stretch>
                      <a:fillRect/>
                    </a:stretch>
                  </pic:blipFill>
                  <pic:spPr>
                    <a:xfrm>
                      <a:off x="0" y="0"/>
                      <a:ext cx="5371951" cy="3831585"/>
                    </a:xfrm>
                    <a:prstGeom prst="rect">
                      <a:avLst/>
                    </a:prstGeom>
                    <a:ln/>
                  </pic:spPr>
                </pic:pic>
              </a:graphicData>
            </a:graphic>
          </wp:inline>
        </w:drawing>
      </w:r>
    </w:p>
    <w:p w14:paraId="00000172" w14:textId="77777777" w:rsidR="00053842" w:rsidRDefault="00CC2250">
      <w:pPr>
        <w:spacing w:after="200"/>
        <w:jc w:val="center"/>
        <w:rPr>
          <w:rFonts w:ascii="Quicksand" w:eastAsia="Quicksand" w:hAnsi="Quicksand" w:cs="Quicksand"/>
          <w:color w:val="808080"/>
          <w:sz w:val="20"/>
          <w:szCs w:val="20"/>
        </w:rPr>
      </w:pPr>
      <w:r>
        <w:rPr>
          <w:rFonts w:ascii="Quicksand" w:eastAsia="Quicksand" w:hAnsi="Quicksand" w:cs="Quicksand"/>
          <w:color w:val="808080"/>
          <w:sz w:val="20"/>
          <w:szCs w:val="20"/>
        </w:rPr>
        <w:t>Fuente Sinergias 2018.</w:t>
      </w:r>
    </w:p>
    <w:p w14:paraId="00000173" w14:textId="77777777" w:rsidR="00053842" w:rsidRDefault="00CC2250">
      <w:pPr>
        <w:spacing w:after="160"/>
        <w:jc w:val="both"/>
        <w:rPr>
          <w:rFonts w:ascii="Quicksand" w:eastAsia="Quicksand" w:hAnsi="Quicksand" w:cs="Quicksand"/>
        </w:rPr>
      </w:pPr>
      <w:r>
        <w:rPr>
          <w:rFonts w:ascii="Quicksand" w:eastAsia="Quicksand" w:hAnsi="Quicksand" w:cs="Quicksand"/>
        </w:rPr>
        <w:t xml:space="preserve">En Bogotá Cachivera se socializaron los resultados a toda la comunidad, situación que sensibilizó a la comunidad para trabajar en los planes que construyeron para sus familias, lo que se ve reflejado en la mejoría que tuvo esta comunidad. Por su parte, en </w:t>
      </w:r>
      <w:r>
        <w:rPr>
          <w:rFonts w:ascii="Quicksand" w:eastAsia="Quicksand" w:hAnsi="Quicksand" w:cs="Quicksand"/>
        </w:rPr>
        <w:t>Macaquiño, les interesó mucho el mejoramiento de vivienda como parte del cuidado de la salud familiar, en las visitas extras “sin ficha en mano” se despejaron las dudas de las familias respecto a los factores de riesgo y protectores. La socialización comun</w:t>
      </w:r>
      <w:r>
        <w:rPr>
          <w:rFonts w:ascii="Quicksand" w:eastAsia="Quicksand" w:hAnsi="Quicksand" w:cs="Quicksand"/>
        </w:rPr>
        <w:t xml:space="preserve">itaria de los resultados también ayudó a que las familias </w:t>
      </w:r>
      <w:r>
        <w:rPr>
          <w:rFonts w:ascii="Quicksand" w:eastAsia="Quicksand" w:hAnsi="Quicksand" w:cs="Quicksand"/>
        </w:rPr>
        <w:lastRenderedPageBreak/>
        <w:t>vieran reflejados en los datos la situación de la comunidad y tomaran acciones para mejorar su situación. En Trubón los avances se debe en gran parte al trabajo de los líderes, quienes estimularon y</w:t>
      </w:r>
      <w:r>
        <w:rPr>
          <w:rFonts w:ascii="Quicksand" w:eastAsia="Quicksand" w:hAnsi="Quicksand" w:cs="Quicksand"/>
        </w:rPr>
        <w:t xml:space="preserve"> motivaron a las familias para trabajar en los planes personalizados familiares.</w:t>
      </w:r>
    </w:p>
    <w:p w14:paraId="00000174" w14:textId="77777777" w:rsidR="00053842" w:rsidRDefault="00CC2250">
      <w:pPr>
        <w:spacing w:after="160"/>
        <w:jc w:val="both"/>
        <w:rPr>
          <w:rFonts w:ascii="Quicksand" w:eastAsia="Quicksand" w:hAnsi="Quicksand" w:cs="Quicksand"/>
        </w:rPr>
      </w:pPr>
      <w:r>
        <w:rPr>
          <w:rFonts w:ascii="Quicksand" w:eastAsia="Quicksand" w:hAnsi="Quicksand" w:cs="Quicksand"/>
        </w:rPr>
        <w:t>Por el contrario, en las comunidades de Garrafa y Pueblo Nuevo, la disminución se debe a una mejor aplicación del instructivo, lo cual permitió encontrar más condiciones desfa</w:t>
      </w:r>
      <w:r>
        <w:rPr>
          <w:rFonts w:ascii="Quicksand" w:eastAsia="Quicksand" w:hAnsi="Quicksand" w:cs="Quicksand"/>
        </w:rPr>
        <w:t xml:space="preserve">vorables para la familia, que a un real aumento en los factores de riesgo. Se espera que, con el trabajo realizado, en la próxima visita de seguimiento se encuentre una mejoría en estas comunidades. </w:t>
      </w:r>
    </w:p>
    <w:p w14:paraId="00000175" w14:textId="77777777" w:rsidR="00053842" w:rsidRDefault="00CC2250">
      <w:pPr>
        <w:spacing w:after="160"/>
        <w:jc w:val="both"/>
        <w:rPr>
          <w:rFonts w:ascii="Quicksand" w:eastAsia="Quicksand" w:hAnsi="Quicksand" w:cs="Quicksand"/>
        </w:rPr>
      </w:pPr>
      <w:r>
        <w:rPr>
          <w:rFonts w:ascii="Quicksand" w:eastAsia="Quicksand" w:hAnsi="Quicksand" w:cs="Quicksand"/>
        </w:rPr>
        <w:t>Al analizar cada uno de los 9 componentes de las visitas</w:t>
      </w:r>
      <w:r>
        <w:rPr>
          <w:rFonts w:ascii="Quicksand" w:eastAsia="Quicksand" w:hAnsi="Quicksand" w:cs="Quicksand"/>
        </w:rPr>
        <w:t>, vemos que la gran mayoría presentaron un aumento frente a la línea de base o se mantuvieron igual. Los componentes de saneamiento básico y el de los programas de prevención y promoción fueron los que mayor aumento presentaron. El único componente que dis</w:t>
      </w:r>
      <w:r>
        <w:rPr>
          <w:rFonts w:ascii="Quicksand" w:eastAsia="Quicksand" w:hAnsi="Quicksand" w:cs="Quicksand"/>
        </w:rPr>
        <w:t xml:space="preserve">minuyó ligeramente su puntaje frente a la línea base fue el de soberanía alimentaria y nutricional que pasó de 83 al 80%, una de las razones que se atribuyen a este cambio es el mayor conocimiento por parte del auxiliar de las familias en la comunidad, lo </w:t>
      </w:r>
      <w:r>
        <w:rPr>
          <w:rFonts w:ascii="Quicksand" w:eastAsia="Quicksand" w:hAnsi="Quicksand" w:cs="Quicksand"/>
        </w:rPr>
        <w:t xml:space="preserve">que permitió identificar familias que no tienen chagra o que no van a cazar o a pescar; sin embargo, para esta segunda medición ninguno de los componentes estuvo por debajo del 60% que es el punto donde se considera alto riesgo. (Gráfico 3) </w:t>
      </w:r>
    </w:p>
    <w:p w14:paraId="00000176" w14:textId="77777777" w:rsidR="00053842" w:rsidRDefault="00CC2250">
      <w:pPr>
        <w:spacing w:after="160"/>
        <w:jc w:val="both"/>
        <w:rPr>
          <w:rFonts w:ascii="Quicksand" w:eastAsia="Quicksand" w:hAnsi="Quicksand" w:cs="Quicksand"/>
        </w:rPr>
      </w:pPr>
      <w:r>
        <w:rPr>
          <w:rFonts w:ascii="Quicksand" w:eastAsia="Quicksand" w:hAnsi="Quicksand" w:cs="Quicksand"/>
        </w:rPr>
        <w:t xml:space="preserve">Al desagregar </w:t>
      </w:r>
      <w:r>
        <w:rPr>
          <w:rFonts w:ascii="Quicksand" w:eastAsia="Quicksand" w:hAnsi="Quicksand" w:cs="Quicksand"/>
        </w:rPr>
        <w:t xml:space="preserve">las diferentes variables analizadas en el componente de saneamiento (Gráfico 4), que fue uno de los que mayor aumento presentó, se evidencia que todas las variables presentaron mejoría; sin embargo, hubo una notoria mejora en el manejo de excretas. </w:t>
      </w:r>
    </w:p>
    <w:p w14:paraId="00000177" w14:textId="77777777" w:rsidR="00053842" w:rsidRDefault="00053842">
      <w:pPr>
        <w:spacing w:after="160"/>
        <w:jc w:val="both"/>
        <w:rPr>
          <w:rFonts w:ascii="Quicksand" w:eastAsia="Quicksand" w:hAnsi="Quicksand" w:cs="Quicksand"/>
        </w:rPr>
      </w:pPr>
    </w:p>
    <w:p w14:paraId="00000178" w14:textId="77777777" w:rsidR="00053842" w:rsidRDefault="00CC2250">
      <w:pPr>
        <w:jc w:val="center"/>
        <w:rPr>
          <w:rFonts w:ascii="Quicksand" w:eastAsia="Quicksand" w:hAnsi="Quicksand" w:cs="Quicksand"/>
          <w:b/>
          <w:sz w:val="20"/>
          <w:szCs w:val="20"/>
        </w:rPr>
      </w:pPr>
      <w:r>
        <w:rPr>
          <w:rFonts w:ascii="Quicksand" w:eastAsia="Quicksand" w:hAnsi="Quicksand" w:cs="Quicksand"/>
          <w:color w:val="7F7F7F"/>
          <w:sz w:val="20"/>
          <w:szCs w:val="20"/>
        </w:rPr>
        <w:lastRenderedPageBreak/>
        <w:t>Gráfi</w:t>
      </w:r>
      <w:r>
        <w:rPr>
          <w:rFonts w:ascii="Quicksand" w:eastAsia="Quicksand" w:hAnsi="Quicksand" w:cs="Quicksand"/>
          <w:color w:val="7F7F7F"/>
          <w:sz w:val="20"/>
          <w:szCs w:val="20"/>
        </w:rPr>
        <w:t>co 3: Balance por componentes de la visita domiciliaria. Línea de base vs censo.</w:t>
      </w:r>
      <w:r>
        <w:rPr>
          <w:rFonts w:ascii="Quicksand" w:eastAsia="Quicksand" w:hAnsi="Quicksand" w:cs="Quicksand"/>
          <w:b/>
          <w:noProof/>
          <w:sz w:val="20"/>
          <w:szCs w:val="20"/>
        </w:rPr>
        <w:drawing>
          <wp:inline distT="0" distB="0" distL="0" distR="0">
            <wp:extent cx="4840826" cy="3631082"/>
            <wp:effectExtent l="0" t="0" r="0" b="0"/>
            <wp:docPr id="1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
                    <a:srcRect l="27950" t="22283" r="26429" b="16878"/>
                    <a:stretch>
                      <a:fillRect/>
                    </a:stretch>
                  </pic:blipFill>
                  <pic:spPr>
                    <a:xfrm>
                      <a:off x="0" y="0"/>
                      <a:ext cx="4840826" cy="3631082"/>
                    </a:xfrm>
                    <a:prstGeom prst="rect">
                      <a:avLst/>
                    </a:prstGeom>
                    <a:ln/>
                  </pic:spPr>
                </pic:pic>
              </a:graphicData>
            </a:graphic>
          </wp:inline>
        </w:drawing>
      </w:r>
    </w:p>
    <w:p w14:paraId="00000179" w14:textId="77777777" w:rsidR="00053842" w:rsidRDefault="00CC2250">
      <w:pPr>
        <w:spacing w:after="160" w:line="259" w:lineRule="auto"/>
        <w:jc w:val="center"/>
        <w:rPr>
          <w:rFonts w:ascii="Quicksand" w:eastAsia="Quicksand" w:hAnsi="Quicksand" w:cs="Quicksand"/>
          <w:color w:val="808080"/>
          <w:sz w:val="18"/>
          <w:szCs w:val="18"/>
        </w:rPr>
      </w:pPr>
      <w:r>
        <w:rPr>
          <w:rFonts w:ascii="Quicksand" w:eastAsia="Quicksand" w:hAnsi="Quicksand" w:cs="Quicksand"/>
          <w:color w:val="808080"/>
          <w:sz w:val="18"/>
          <w:szCs w:val="18"/>
        </w:rPr>
        <w:t>Fuente Sinergias 2018</w:t>
      </w:r>
    </w:p>
    <w:p w14:paraId="0000017A" w14:textId="77777777" w:rsidR="00053842" w:rsidRDefault="00CC2250">
      <w:pPr>
        <w:jc w:val="center"/>
        <w:rPr>
          <w:rFonts w:ascii="Quicksand" w:eastAsia="Quicksand" w:hAnsi="Quicksand" w:cs="Quicksand"/>
          <w:color w:val="7F7F7F"/>
          <w:sz w:val="20"/>
          <w:szCs w:val="20"/>
        </w:rPr>
      </w:pPr>
      <w:r>
        <w:rPr>
          <w:rFonts w:ascii="Quicksand" w:eastAsia="Quicksand" w:hAnsi="Quicksand" w:cs="Quicksand"/>
          <w:color w:val="7F7F7F"/>
          <w:sz w:val="20"/>
          <w:szCs w:val="20"/>
        </w:rPr>
        <w:t>Gráfico 4: Variables del componente saneamiento básico.</w:t>
      </w:r>
    </w:p>
    <w:p w14:paraId="0000017B" w14:textId="77777777" w:rsidR="00053842" w:rsidRDefault="00CC2250">
      <w:pPr>
        <w:keepNext/>
        <w:spacing w:line="259" w:lineRule="auto"/>
        <w:jc w:val="center"/>
        <w:rPr>
          <w:rFonts w:ascii="Quicksand" w:eastAsia="Quicksand" w:hAnsi="Quicksand" w:cs="Quicksand"/>
        </w:rPr>
      </w:pPr>
      <w:r>
        <w:rPr>
          <w:rFonts w:ascii="Quicksand" w:eastAsia="Quicksand" w:hAnsi="Quicksand" w:cs="Quicksand"/>
          <w:noProof/>
        </w:rPr>
        <w:drawing>
          <wp:inline distT="0" distB="0" distL="0" distR="0">
            <wp:extent cx="5361718" cy="3899647"/>
            <wp:effectExtent l="0" t="0" r="0" b="0"/>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5361718" cy="3899647"/>
                    </a:xfrm>
                    <a:prstGeom prst="rect">
                      <a:avLst/>
                    </a:prstGeom>
                    <a:ln/>
                  </pic:spPr>
                </pic:pic>
              </a:graphicData>
            </a:graphic>
          </wp:inline>
        </w:drawing>
      </w:r>
    </w:p>
    <w:p w14:paraId="0000017C" w14:textId="77777777" w:rsidR="00053842" w:rsidRDefault="00CC2250">
      <w:pPr>
        <w:keepNext/>
        <w:spacing w:after="160" w:line="259" w:lineRule="auto"/>
        <w:jc w:val="center"/>
        <w:rPr>
          <w:rFonts w:ascii="Quicksand" w:eastAsia="Quicksand" w:hAnsi="Quicksand" w:cs="Quicksand"/>
          <w:color w:val="808080"/>
          <w:sz w:val="18"/>
          <w:szCs w:val="18"/>
        </w:rPr>
      </w:pPr>
      <w:r>
        <w:rPr>
          <w:rFonts w:ascii="Quicksand" w:eastAsia="Quicksand" w:hAnsi="Quicksand" w:cs="Quicksand"/>
          <w:color w:val="808080"/>
          <w:sz w:val="18"/>
          <w:szCs w:val="18"/>
        </w:rPr>
        <w:t>Fuente Sinergias 2018</w:t>
      </w:r>
    </w:p>
    <w:p w14:paraId="0000017D" w14:textId="77777777" w:rsidR="00053842" w:rsidRDefault="00053842">
      <w:pPr>
        <w:jc w:val="center"/>
        <w:rPr>
          <w:rFonts w:ascii="Quicksand" w:eastAsia="Quicksand" w:hAnsi="Quicksand" w:cs="Quicksand"/>
          <w:b/>
          <w:sz w:val="20"/>
          <w:szCs w:val="20"/>
        </w:rPr>
      </w:pPr>
    </w:p>
    <w:p w14:paraId="0000017E" w14:textId="77777777" w:rsidR="00053842" w:rsidRDefault="00CC2250">
      <w:pPr>
        <w:spacing w:after="160"/>
        <w:jc w:val="both"/>
        <w:rPr>
          <w:rFonts w:ascii="Quicksand" w:eastAsia="Quicksand" w:hAnsi="Quicksand" w:cs="Quicksand"/>
        </w:rPr>
      </w:pPr>
      <w:r>
        <w:rPr>
          <w:rFonts w:ascii="Quicksand" w:eastAsia="Quicksand" w:hAnsi="Quicksand" w:cs="Quicksand"/>
        </w:rPr>
        <w:lastRenderedPageBreak/>
        <w:t>Como se ve en la Gráfico 5 se pasó de tener 32% de las familias en alto riesgo (línea de base) a tener únicamente 11% en alto riesgo en el componente de manejo de excretas. Actualmente el 85% de las familias de la zona tienen un riesgo bajo en el manejo de</w:t>
      </w:r>
      <w:r>
        <w:rPr>
          <w:rFonts w:ascii="Quicksand" w:eastAsia="Quicksand" w:hAnsi="Quicksand" w:cs="Quicksand"/>
        </w:rPr>
        <w:t xml:space="preserve"> excretas. </w:t>
      </w:r>
    </w:p>
    <w:p w14:paraId="0000017F" w14:textId="77777777" w:rsidR="00053842" w:rsidRDefault="00CC2250">
      <w:pPr>
        <w:jc w:val="center"/>
        <w:rPr>
          <w:rFonts w:ascii="Quicksand" w:eastAsia="Quicksand" w:hAnsi="Quicksand" w:cs="Quicksand"/>
          <w:b/>
          <w:sz w:val="20"/>
          <w:szCs w:val="20"/>
        </w:rPr>
      </w:pPr>
      <w:r>
        <w:rPr>
          <w:rFonts w:ascii="Quicksand" w:eastAsia="Quicksand" w:hAnsi="Quicksand" w:cs="Quicksand"/>
          <w:color w:val="7F7F7F"/>
          <w:sz w:val="20"/>
          <w:szCs w:val="20"/>
        </w:rPr>
        <w:t>Gráfico 5: Porcentaje de familias por nivel de riesgo en componente saneamiento básico.</w:t>
      </w:r>
      <w:r>
        <w:rPr>
          <w:rFonts w:ascii="Quicksand" w:eastAsia="Quicksand" w:hAnsi="Quicksand" w:cs="Quicksand"/>
          <w:b/>
          <w:color w:val="7F7F7F"/>
          <w:sz w:val="20"/>
          <w:szCs w:val="20"/>
        </w:rPr>
        <w:t xml:space="preserve"> </w:t>
      </w:r>
      <w:r>
        <w:rPr>
          <w:rFonts w:ascii="Quicksand" w:eastAsia="Quicksand" w:hAnsi="Quicksand" w:cs="Quicksand"/>
          <w:b/>
          <w:noProof/>
          <w:sz w:val="20"/>
          <w:szCs w:val="20"/>
        </w:rPr>
        <w:drawing>
          <wp:inline distT="0" distB="0" distL="0" distR="0">
            <wp:extent cx="3625496" cy="2636875"/>
            <wp:effectExtent l="0" t="0" r="0" b="0"/>
            <wp:docPr id="1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3625496" cy="2636875"/>
                    </a:xfrm>
                    <a:prstGeom prst="rect">
                      <a:avLst/>
                    </a:prstGeom>
                    <a:ln/>
                  </pic:spPr>
                </pic:pic>
              </a:graphicData>
            </a:graphic>
          </wp:inline>
        </w:drawing>
      </w:r>
    </w:p>
    <w:p w14:paraId="00000180" w14:textId="77777777" w:rsidR="00053842" w:rsidRDefault="00CC2250">
      <w:pPr>
        <w:spacing w:after="160" w:line="259" w:lineRule="auto"/>
        <w:jc w:val="center"/>
        <w:rPr>
          <w:rFonts w:ascii="Quicksand" w:eastAsia="Quicksand" w:hAnsi="Quicksand" w:cs="Quicksand"/>
          <w:color w:val="808080"/>
          <w:sz w:val="18"/>
          <w:szCs w:val="18"/>
        </w:rPr>
      </w:pPr>
      <w:r>
        <w:rPr>
          <w:rFonts w:ascii="Quicksand" w:eastAsia="Quicksand" w:hAnsi="Quicksand" w:cs="Quicksand"/>
          <w:color w:val="808080"/>
          <w:sz w:val="18"/>
          <w:szCs w:val="18"/>
        </w:rPr>
        <w:t>Fuente Sinergias 2018</w:t>
      </w:r>
    </w:p>
    <w:p w14:paraId="00000181" w14:textId="77777777" w:rsidR="00053842" w:rsidRDefault="00CC2250">
      <w:pPr>
        <w:spacing w:after="160"/>
        <w:jc w:val="both"/>
        <w:rPr>
          <w:rFonts w:ascii="Quicksand" w:eastAsia="Quicksand" w:hAnsi="Quicksand" w:cs="Quicksand"/>
        </w:rPr>
      </w:pPr>
      <w:r>
        <w:rPr>
          <w:rFonts w:ascii="Quicksand" w:eastAsia="Quicksand" w:hAnsi="Quicksand" w:cs="Quicksand"/>
        </w:rPr>
        <w:t>Otro componente que tuvo una gran mejoría frente a la línea de base fue el de acceso a los programas de promoción y prevención que p</w:t>
      </w:r>
      <w:r>
        <w:rPr>
          <w:rFonts w:ascii="Quicksand" w:eastAsia="Quicksand" w:hAnsi="Quicksand" w:cs="Quicksand"/>
        </w:rPr>
        <w:t>asó de 62% a 79%. La mayoría de las variables de este componente tuvieron una mejoría; como se evidencia en el Gráfico 6, se llegó a un 92% de cobertura de vacunación y a un 90% de cobertura de control de crecimiento y desarrollo. En el Gráfico 7 se observ</w:t>
      </w:r>
      <w:r>
        <w:rPr>
          <w:rFonts w:ascii="Quicksand" w:eastAsia="Quicksand" w:hAnsi="Quicksand" w:cs="Quicksand"/>
        </w:rPr>
        <w:t xml:space="preserve">a que se pasó de 24% a 0% de familias en alto riesgo por falta de asistencia a controles de crecimiento y desarrollo. Actualmente el 90% de las familias con niños y niñas se encuentran en bajo riesgo para esta variable. </w:t>
      </w:r>
    </w:p>
    <w:p w14:paraId="00000182" w14:textId="77777777" w:rsidR="00053842" w:rsidRDefault="00CC2250">
      <w:pPr>
        <w:spacing w:after="160"/>
        <w:jc w:val="both"/>
        <w:rPr>
          <w:rFonts w:ascii="Quicksand" w:eastAsia="Quicksand" w:hAnsi="Quicksand" w:cs="Quicksand"/>
        </w:rPr>
      </w:pPr>
      <w:r>
        <w:rPr>
          <w:rFonts w:ascii="Quicksand" w:eastAsia="Quicksand" w:hAnsi="Quicksand" w:cs="Quicksand"/>
        </w:rPr>
        <w:t xml:space="preserve">Hubo una disminución en el control </w:t>
      </w:r>
      <w:r>
        <w:rPr>
          <w:rFonts w:ascii="Quicksand" w:eastAsia="Quicksand" w:hAnsi="Quicksand" w:cs="Quicksand"/>
        </w:rPr>
        <w:t>prenatal, pero esto puede deberse a una sobreestimación inicial. Además, hay que tener en cuenta que todas las gestantes de la zona recibieron por lo menos un seguimiento por parte del auxiliar. Como se explicó anteriormente, una de las razones para eviden</w:t>
      </w:r>
      <w:r>
        <w:rPr>
          <w:rFonts w:ascii="Quicksand" w:eastAsia="Quicksand" w:hAnsi="Quicksand" w:cs="Quicksand"/>
        </w:rPr>
        <w:t>ciar una mejoría en este componente fue la visita del grupo extramural a la zona de Timbó. Es importante resaltar que el grupo extramural visitó la zona de Macaquiño y Wacará durante el mes de septiembre, por lo cual en esta visita aún no se ven reflejadas</w:t>
      </w:r>
      <w:r>
        <w:rPr>
          <w:rFonts w:ascii="Quicksand" w:eastAsia="Quicksand" w:hAnsi="Quicksand" w:cs="Quicksand"/>
        </w:rPr>
        <w:t xml:space="preserve"> estas acciones, pero es probable que en un próximo seguimiento muchos de estos indicadores tengan mayor aumento. </w:t>
      </w:r>
    </w:p>
    <w:p w14:paraId="00000183" w14:textId="77777777" w:rsidR="00053842" w:rsidRDefault="00CC2250">
      <w:pPr>
        <w:jc w:val="center"/>
        <w:rPr>
          <w:rFonts w:ascii="Quicksand" w:eastAsia="Quicksand" w:hAnsi="Quicksand" w:cs="Quicksand"/>
          <w:b/>
          <w:color w:val="7F7F7F"/>
          <w:sz w:val="20"/>
          <w:szCs w:val="20"/>
        </w:rPr>
      </w:pPr>
      <w:r>
        <w:rPr>
          <w:rFonts w:ascii="Quicksand" w:eastAsia="Quicksand" w:hAnsi="Quicksand" w:cs="Quicksand"/>
          <w:color w:val="7F7F7F"/>
          <w:sz w:val="20"/>
          <w:szCs w:val="20"/>
        </w:rPr>
        <w:lastRenderedPageBreak/>
        <w:t>Gráfico 6: Variables componente cobertura de servicios de P y P. Línea base vs segunda visita.</w:t>
      </w:r>
      <w:r>
        <w:rPr>
          <w:rFonts w:ascii="Quicksand" w:eastAsia="Quicksand" w:hAnsi="Quicksand" w:cs="Quicksand"/>
          <w:b/>
          <w:color w:val="7F7F7F"/>
          <w:sz w:val="20"/>
          <w:szCs w:val="20"/>
        </w:rPr>
        <w:t xml:space="preserve"> </w:t>
      </w:r>
      <w:r>
        <w:rPr>
          <w:rFonts w:ascii="Quicksand" w:eastAsia="Quicksand" w:hAnsi="Quicksand" w:cs="Quicksand"/>
          <w:b/>
          <w:noProof/>
          <w:sz w:val="20"/>
          <w:szCs w:val="20"/>
        </w:rPr>
        <w:drawing>
          <wp:inline distT="0" distB="0" distL="0" distR="0">
            <wp:extent cx="5277803" cy="3842203"/>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277803" cy="3842203"/>
                    </a:xfrm>
                    <a:prstGeom prst="rect">
                      <a:avLst/>
                    </a:prstGeom>
                    <a:ln/>
                  </pic:spPr>
                </pic:pic>
              </a:graphicData>
            </a:graphic>
          </wp:inline>
        </w:drawing>
      </w:r>
    </w:p>
    <w:p w14:paraId="00000184" w14:textId="77777777" w:rsidR="00053842" w:rsidRDefault="00CC2250">
      <w:pPr>
        <w:spacing w:after="160" w:line="259" w:lineRule="auto"/>
        <w:jc w:val="center"/>
        <w:rPr>
          <w:rFonts w:ascii="Quicksand" w:eastAsia="Quicksand" w:hAnsi="Quicksand" w:cs="Quicksand"/>
          <w:color w:val="808080"/>
          <w:sz w:val="18"/>
          <w:szCs w:val="18"/>
        </w:rPr>
      </w:pPr>
      <w:r>
        <w:rPr>
          <w:rFonts w:ascii="Quicksand" w:eastAsia="Quicksand" w:hAnsi="Quicksand" w:cs="Quicksand"/>
          <w:color w:val="808080"/>
          <w:sz w:val="18"/>
          <w:szCs w:val="18"/>
        </w:rPr>
        <w:t>Fuente Sinergias 2018.</w:t>
      </w:r>
    </w:p>
    <w:p w14:paraId="00000185" w14:textId="77777777" w:rsidR="00053842" w:rsidRDefault="00053842">
      <w:pPr>
        <w:spacing w:after="160" w:line="259" w:lineRule="auto"/>
        <w:rPr>
          <w:rFonts w:ascii="Calibri" w:eastAsia="Calibri" w:hAnsi="Calibri" w:cs="Calibri"/>
        </w:rPr>
      </w:pPr>
    </w:p>
    <w:p w14:paraId="00000186" w14:textId="77777777" w:rsidR="00053842" w:rsidRDefault="00053842">
      <w:pPr>
        <w:jc w:val="center"/>
        <w:rPr>
          <w:rFonts w:ascii="Quicksand" w:eastAsia="Quicksand" w:hAnsi="Quicksand" w:cs="Quicksand"/>
          <w:sz w:val="20"/>
          <w:szCs w:val="20"/>
        </w:rPr>
      </w:pPr>
    </w:p>
    <w:p w14:paraId="00000187" w14:textId="77777777" w:rsidR="00053842" w:rsidRDefault="00CC2250">
      <w:pPr>
        <w:jc w:val="center"/>
        <w:rPr>
          <w:rFonts w:ascii="Quicksand" w:eastAsia="Quicksand" w:hAnsi="Quicksand" w:cs="Quicksand"/>
          <w:sz w:val="20"/>
          <w:szCs w:val="20"/>
        </w:rPr>
      </w:pPr>
      <w:r>
        <w:rPr>
          <w:rFonts w:ascii="Quicksand" w:eastAsia="Quicksand" w:hAnsi="Quicksand" w:cs="Quicksand"/>
          <w:sz w:val="20"/>
          <w:szCs w:val="20"/>
        </w:rPr>
        <w:t>Gráfico 7: Variable</w:t>
      </w:r>
      <w:r>
        <w:rPr>
          <w:rFonts w:ascii="Quicksand" w:eastAsia="Quicksand" w:hAnsi="Quicksand" w:cs="Quicksand"/>
          <w:sz w:val="20"/>
          <w:szCs w:val="20"/>
        </w:rPr>
        <w:t>s del componente de programas de P y P. Comparación línea de base con visita de seguimiento.</w:t>
      </w:r>
    </w:p>
    <w:p w14:paraId="00000188" w14:textId="77777777" w:rsidR="00053842" w:rsidRDefault="00CC2250">
      <w:pPr>
        <w:jc w:val="center"/>
        <w:rPr>
          <w:rFonts w:ascii="Quicksand" w:eastAsia="Quicksand" w:hAnsi="Quicksand" w:cs="Quicksand"/>
          <w:b/>
          <w:sz w:val="20"/>
          <w:szCs w:val="20"/>
        </w:rPr>
      </w:pPr>
      <w:r>
        <w:rPr>
          <w:rFonts w:ascii="Quicksand" w:eastAsia="Quicksand" w:hAnsi="Quicksand" w:cs="Quicksand"/>
          <w:b/>
          <w:sz w:val="20"/>
          <w:szCs w:val="20"/>
        </w:rPr>
        <w:lastRenderedPageBreak/>
        <w:t xml:space="preserve"> </w:t>
      </w:r>
      <w:r>
        <w:rPr>
          <w:rFonts w:ascii="Quicksand" w:eastAsia="Quicksand" w:hAnsi="Quicksand" w:cs="Quicksand"/>
          <w:b/>
          <w:noProof/>
          <w:sz w:val="20"/>
          <w:szCs w:val="20"/>
        </w:rPr>
        <w:drawing>
          <wp:inline distT="0" distB="0" distL="0" distR="0">
            <wp:extent cx="5376383" cy="3924762"/>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28503" t="15879" r="14491" b="10135"/>
                    <a:stretch>
                      <a:fillRect/>
                    </a:stretch>
                  </pic:blipFill>
                  <pic:spPr>
                    <a:xfrm>
                      <a:off x="0" y="0"/>
                      <a:ext cx="5376383" cy="3924762"/>
                    </a:xfrm>
                    <a:prstGeom prst="rect">
                      <a:avLst/>
                    </a:prstGeom>
                    <a:ln/>
                  </pic:spPr>
                </pic:pic>
              </a:graphicData>
            </a:graphic>
          </wp:inline>
        </w:drawing>
      </w:r>
    </w:p>
    <w:p w14:paraId="00000189" w14:textId="77777777" w:rsidR="00053842" w:rsidRDefault="00CC2250">
      <w:pPr>
        <w:spacing w:after="160" w:line="259" w:lineRule="auto"/>
        <w:jc w:val="center"/>
        <w:rPr>
          <w:rFonts w:ascii="Quicksand" w:eastAsia="Quicksand" w:hAnsi="Quicksand" w:cs="Quicksand"/>
          <w:color w:val="808080"/>
          <w:sz w:val="18"/>
          <w:szCs w:val="18"/>
        </w:rPr>
      </w:pPr>
      <w:r>
        <w:rPr>
          <w:rFonts w:ascii="Quicksand" w:eastAsia="Quicksand" w:hAnsi="Quicksand" w:cs="Quicksand"/>
          <w:color w:val="808080"/>
          <w:sz w:val="18"/>
          <w:szCs w:val="18"/>
        </w:rPr>
        <w:t>Fuente Sinergias 2018.</w:t>
      </w:r>
    </w:p>
    <w:p w14:paraId="0000018A" w14:textId="77777777" w:rsidR="00053842" w:rsidRDefault="00CC2250">
      <w:pPr>
        <w:spacing w:after="160"/>
        <w:jc w:val="both"/>
        <w:rPr>
          <w:rFonts w:ascii="Quicksand" w:eastAsia="Quicksand" w:hAnsi="Quicksand" w:cs="Quicksand"/>
        </w:rPr>
      </w:pPr>
      <w:r>
        <w:rPr>
          <w:rFonts w:ascii="Quicksand" w:eastAsia="Quicksand" w:hAnsi="Quicksand" w:cs="Quicksand"/>
        </w:rPr>
        <w:t xml:space="preserve">El único componente que presentó una disminución fue el de soberanía alimentaria y nutricional. Como se ve en el Gráfico 8, en el balance general del componente hubo un ligero aumento del porcentaje de las familias en riesgo alto y medio y una disminución </w:t>
      </w:r>
      <w:r>
        <w:rPr>
          <w:rFonts w:ascii="Quicksand" w:eastAsia="Quicksand" w:hAnsi="Quicksand" w:cs="Quicksand"/>
        </w:rPr>
        <w:t>de las familias en bajo riesgo. Sin embargo, como se ve en el gráfico 3, el componente permanece en 80%, es decir en bajo riesgo. El componente de consumo de carne se mantuvo prácticamente igual entre ambas mediciones, hubo una disminución del porcentaje d</w:t>
      </w:r>
      <w:r>
        <w:rPr>
          <w:rFonts w:ascii="Quicksand" w:eastAsia="Quicksand" w:hAnsi="Quicksand" w:cs="Quicksand"/>
        </w:rPr>
        <w:t xml:space="preserve">e familias en bajo riesgo en los componentes de chagras suficientes, personas para trabajar en la chagra, caza y pesca suficiente. </w:t>
      </w:r>
    </w:p>
    <w:p w14:paraId="0000018B" w14:textId="77777777" w:rsidR="00053842" w:rsidRDefault="00CC2250">
      <w:pPr>
        <w:spacing w:after="160"/>
        <w:jc w:val="both"/>
        <w:rPr>
          <w:rFonts w:ascii="Quicksand" w:eastAsia="Quicksand" w:hAnsi="Quicksand" w:cs="Quicksand"/>
        </w:rPr>
      </w:pPr>
      <w:r>
        <w:rPr>
          <w:rFonts w:ascii="Quicksand" w:eastAsia="Quicksand" w:hAnsi="Quicksand" w:cs="Quicksand"/>
        </w:rPr>
        <w:t>En el componente de frecuencia y cantidad de consumo de alimentos, si bien disminuyeron las familias en bajo riesgo, ya no s</w:t>
      </w:r>
      <w:r>
        <w:rPr>
          <w:rFonts w:ascii="Quicksand" w:eastAsia="Quicksand" w:hAnsi="Quicksand" w:cs="Quicksand"/>
        </w:rPr>
        <w:t xml:space="preserve">e cuenta con familias en alto riesgo en este componente. Como se dijo anteriormente, una de las razones para estos cambios, puede ser una mejor aplicación del instructivo y la mayor confianza generada entre los auxiliares y las familias, donde ya se tiene </w:t>
      </w:r>
      <w:r>
        <w:rPr>
          <w:rFonts w:ascii="Quicksand" w:eastAsia="Quicksand" w:hAnsi="Quicksand" w:cs="Quicksand"/>
        </w:rPr>
        <w:t>un mayor conocimiento de la situación real de la familia y las familias son más abiertas a compartir la situación real con los auxiliares. Es importante continuar trabajando para mejorar el acceso a proteínas en las familias, ya que los componentes de cons</w:t>
      </w:r>
      <w:r>
        <w:rPr>
          <w:rFonts w:ascii="Quicksand" w:eastAsia="Quicksand" w:hAnsi="Quicksand" w:cs="Quicksand"/>
        </w:rPr>
        <w:t xml:space="preserve">umo de carne y frecuencia y cantidad de consumo de alimentos son los que presentan menor porcentaje de familias en bajo riesgo. </w:t>
      </w:r>
    </w:p>
    <w:p w14:paraId="0000018C" w14:textId="77777777" w:rsidR="00053842" w:rsidRDefault="00CC2250">
      <w:pPr>
        <w:keepNext/>
        <w:spacing w:line="259" w:lineRule="auto"/>
        <w:jc w:val="center"/>
        <w:rPr>
          <w:rFonts w:ascii="Quicksand" w:eastAsia="Quicksand" w:hAnsi="Quicksand" w:cs="Quicksand"/>
        </w:rPr>
      </w:pPr>
      <w:r>
        <w:rPr>
          <w:rFonts w:ascii="Quicksand" w:eastAsia="Quicksand" w:hAnsi="Quicksand" w:cs="Quicksand"/>
          <w:color w:val="7F7F7F"/>
          <w:sz w:val="20"/>
          <w:szCs w:val="20"/>
        </w:rPr>
        <w:lastRenderedPageBreak/>
        <w:t>Gráfico 8: Variables del componente de soberanía alimentaria y nutricional.</w:t>
      </w:r>
      <w:r>
        <w:rPr>
          <w:rFonts w:ascii="Quicksand" w:eastAsia="Quicksand" w:hAnsi="Quicksand" w:cs="Quicksand"/>
          <w:color w:val="7F7F7F"/>
          <w:sz w:val="24"/>
          <w:szCs w:val="24"/>
        </w:rPr>
        <w:t xml:space="preserve"> </w:t>
      </w:r>
      <w:r>
        <w:rPr>
          <w:rFonts w:ascii="Quicksand" w:eastAsia="Quicksand" w:hAnsi="Quicksand" w:cs="Quicksand"/>
          <w:noProof/>
        </w:rPr>
        <w:drawing>
          <wp:inline distT="0" distB="0" distL="0" distR="0">
            <wp:extent cx="5471851" cy="3739384"/>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l="27933" t="17568" r="11450" b="8783"/>
                    <a:stretch>
                      <a:fillRect/>
                    </a:stretch>
                  </pic:blipFill>
                  <pic:spPr>
                    <a:xfrm>
                      <a:off x="0" y="0"/>
                      <a:ext cx="5471851" cy="3739384"/>
                    </a:xfrm>
                    <a:prstGeom prst="rect">
                      <a:avLst/>
                    </a:prstGeom>
                    <a:ln/>
                  </pic:spPr>
                </pic:pic>
              </a:graphicData>
            </a:graphic>
          </wp:inline>
        </w:drawing>
      </w:r>
    </w:p>
    <w:p w14:paraId="0000018D" w14:textId="77777777" w:rsidR="00053842" w:rsidRDefault="00CC2250">
      <w:pPr>
        <w:spacing w:after="200"/>
        <w:jc w:val="center"/>
        <w:rPr>
          <w:rFonts w:ascii="Quicksand" w:eastAsia="Quicksand" w:hAnsi="Quicksand" w:cs="Quicksand"/>
          <w:sz w:val="18"/>
          <w:szCs w:val="18"/>
        </w:rPr>
      </w:pPr>
      <w:r>
        <w:rPr>
          <w:rFonts w:ascii="Quicksand" w:eastAsia="Quicksand" w:hAnsi="Quicksand" w:cs="Quicksand"/>
          <w:sz w:val="18"/>
          <w:szCs w:val="18"/>
        </w:rPr>
        <w:t>Fuente Sinergias 2018.</w:t>
      </w:r>
    </w:p>
    <w:p w14:paraId="0000018E" w14:textId="77777777" w:rsidR="00053842" w:rsidRDefault="00CC2250">
      <w:pPr>
        <w:spacing w:after="160" w:line="259" w:lineRule="auto"/>
        <w:jc w:val="both"/>
        <w:rPr>
          <w:rFonts w:ascii="Quicksand" w:eastAsia="Quicksand" w:hAnsi="Quicksand" w:cs="Quicksand"/>
        </w:rPr>
      </w:pPr>
      <w:r>
        <w:rPr>
          <w:rFonts w:ascii="Quicksand" w:eastAsia="Quicksand" w:hAnsi="Quicksand" w:cs="Quicksand"/>
        </w:rPr>
        <w:t>En el Gráfico 9 se muestra el balance general de las visitas domiciliarias comparando la línea de base con el seguimiento por cada una de las comunidades. En las comunidades de Bogotá Cachivera, Murutinga, Timbó de Betania, Tucandira y Wacará en la primera</w:t>
      </w:r>
      <w:r>
        <w:rPr>
          <w:rFonts w:ascii="Quicksand" w:eastAsia="Quicksand" w:hAnsi="Quicksand" w:cs="Quicksand"/>
        </w:rPr>
        <w:t xml:space="preserve"> visita se encontraron familias en alto riesgo, pero para la segunda visita ya no se encontró ninguna familia en alto riesgo. En las comunidades de Mituseño y Trubón, para esta segunda medición todas las familias se encontraban en bajo riesgo. </w:t>
      </w:r>
    </w:p>
    <w:p w14:paraId="0000018F" w14:textId="77777777" w:rsidR="00053842" w:rsidRDefault="00CC2250">
      <w:pPr>
        <w:jc w:val="center"/>
        <w:rPr>
          <w:rFonts w:ascii="Quicksand" w:eastAsia="Quicksand" w:hAnsi="Quicksand" w:cs="Quicksand"/>
          <w:b/>
          <w:sz w:val="20"/>
          <w:szCs w:val="20"/>
        </w:rPr>
      </w:pPr>
      <w:r>
        <w:rPr>
          <w:rFonts w:ascii="Quicksand" w:eastAsia="Quicksand" w:hAnsi="Quicksand" w:cs="Quicksand"/>
          <w:color w:val="7F7F7F"/>
          <w:sz w:val="20"/>
          <w:szCs w:val="20"/>
        </w:rPr>
        <w:lastRenderedPageBreak/>
        <w:t xml:space="preserve">Gráfico 9: </w:t>
      </w:r>
      <w:r>
        <w:rPr>
          <w:rFonts w:ascii="Quicksand" w:eastAsia="Quicksand" w:hAnsi="Quicksand" w:cs="Quicksand"/>
          <w:color w:val="7F7F7F"/>
          <w:sz w:val="20"/>
          <w:szCs w:val="20"/>
        </w:rPr>
        <w:t>Clasificación de los hogares según riesgo en la valoración familiar por comunidad.</w:t>
      </w:r>
      <w:r>
        <w:rPr>
          <w:rFonts w:ascii="Quicksand" w:eastAsia="Quicksand" w:hAnsi="Quicksand" w:cs="Quicksand"/>
          <w:b/>
          <w:color w:val="7F7F7F"/>
          <w:sz w:val="20"/>
          <w:szCs w:val="20"/>
        </w:rPr>
        <w:t xml:space="preserve"> </w:t>
      </w:r>
      <w:r>
        <w:rPr>
          <w:rFonts w:ascii="Quicksand" w:eastAsia="Quicksand" w:hAnsi="Quicksand" w:cs="Quicksand"/>
          <w:b/>
          <w:noProof/>
          <w:sz w:val="20"/>
          <w:szCs w:val="20"/>
        </w:rPr>
        <w:drawing>
          <wp:inline distT="0" distB="0" distL="0" distR="0">
            <wp:extent cx="5246636" cy="3794361"/>
            <wp:effectExtent l="0" t="0" r="0" b="0"/>
            <wp:docPr id="14" name="image9.jpg" descr="C:\Users\CarolinaChavarro\Documents\Downloads\WhatsApp Image 2018-10-22 at 11.11.42 AM.jpeg"/>
            <wp:cNvGraphicFramePr/>
            <a:graphic xmlns:a="http://schemas.openxmlformats.org/drawingml/2006/main">
              <a:graphicData uri="http://schemas.openxmlformats.org/drawingml/2006/picture">
                <pic:pic xmlns:pic="http://schemas.openxmlformats.org/drawingml/2006/picture">
                  <pic:nvPicPr>
                    <pic:cNvPr id="0" name="image9.jpg" descr="C:\Users\CarolinaChavarro\Documents\Downloads\WhatsApp Image 2018-10-22 at 11.11.42 AM.jpeg"/>
                    <pic:cNvPicPr preferRelativeResize="0"/>
                  </pic:nvPicPr>
                  <pic:blipFill>
                    <a:blip r:embed="rId13"/>
                    <a:srcRect/>
                    <a:stretch>
                      <a:fillRect/>
                    </a:stretch>
                  </pic:blipFill>
                  <pic:spPr>
                    <a:xfrm>
                      <a:off x="0" y="0"/>
                      <a:ext cx="5246636" cy="3794361"/>
                    </a:xfrm>
                    <a:prstGeom prst="rect">
                      <a:avLst/>
                    </a:prstGeom>
                    <a:ln/>
                  </pic:spPr>
                </pic:pic>
              </a:graphicData>
            </a:graphic>
          </wp:inline>
        </w:drawing>
      </w:r>
    </w:p>
    <w:p w14:paraId="00000190" w14:textId="77777777" w:rsidR="00053842" w:rsidRDefault="00CC2250">
      <w:pPr>
        <w:spacing w:after="160" w:line="259" w:lineRule="auto"/>
        <w:jc w:val="center"/>
        <w:rPr>
          <w:rFonts w:ascii="Quicksand" w:eastAsia="Quicksand" w:hAnsi="Quicksand" w:cs="Quicksand"/>
          <w:color w:val="808080"/>
          <w:sz w:val="18"/>
          <w:szCs w:val="18"/>
        </w:rPr>
      </w:pPr>
      <w:r>
        <w:rPr>
          <w:rFonts w:ascii="Quicksand" w:eastAsia="Quicksand" w:hAnsi="Quicksand" w:cs="Quicksand"/>
          <w:color w:val="808080"/>
          <w:sz w:val="18"/>
          <w:szCs w:val="18"/>
        </w:rPr>
        <w:t>Fuente Sinergias 2018.</w:t>
      </w:r>
    </w:p>
    <w:p w14:paraId="00000191" w14:textId="77777777" w:rsidR="00053842" w:rsidRDefault="00CC2250">
      <w:pPr>
        <w:spacing w:after="160" w:line="259" w:lineRule="auto"/>
        <w:jc w:val="both"/>
        <w:rPr>
          <w:rFonts w:ascii="Quicksand" w:eastAsia="Quicksand" w:hAnsi="Quicksand" w:cs="Quicksand"/>
        </w:rPr>
      </w:pPr>
      <w:r>
        <w:rPr>
          <w:rFonts w:ascii="Quicksand" w:eastAsia="Quicksand" w:hAnsi="Quicksand" w:cs="Quicksand"/>
        </w:rPr>
        <w:t>Como ya se dijo anteriormente, en la zona de Pueblo Nuevo se aplicó más estrictamente el instructivo, por lo cual encontramos en las comunidades de esa zona (Ceima Cachivera, Ceima San Pablo y Yararaca) familias en alto riesgo que no se habían identificado</w:t>
      </w:r>
      <w:r>
        <w:rPr>
          <w:rFonts w:ascii="Quicksand" w:eastAsia="Quicksand" w:hAnsi="Quicksand" w:cs="Quicksand"/>
        </w:rPr>
        <w:t xml:space="preserve"> en ese nivel de riesgo en la primera visita. Esto mismo se evidencia en el Gráfico 10, donde se muestra el balance general por punto de atención y se muestra el porcentaje de familias en cada una de las categorías de riesgo, se ve como en Pueblo Nuevo se </w:t>
      </w:r>
      <w:r>
        <w:rPr>
          <w:rFonts w:ascii="Quicksand" w:eastAsia="Quicksand" w:hAnsi="Quicksand" w:cs="Quicksand"/>
        </w:rPr>
        <w:t xml:space="preserve">pasó de un 5% de las familias en alto riesgo a un 30%. </w:t>
      </w:r>
    </w:p>
    <w:p w14:paraId="00000192" w14:textId="77777777" w:rsidR="00053842" w:rsidRDefault="00CC2250">
      <w:pPr>
        <w:spacing w:after="160"/>
        <w:jc w:val="both"/>
        <w:rPr>
          <w:rFonts w:ascii="Quicksand" w:eastAsia="Quicksand" w:hAnsi="Quicksand" w:cs="Quicksand"/>
        </w:rPr>
      </w:pPr>
      <w:r>
        <w:rPr>
          <w:rFonts w:ascii="Quicksand" w:eastAsia="Quicksand" w:hAnsi="Quicksand" w:cs="Quicksand"/>
        </w:rPr>
        <w:t>En el Gráfico 10, se evidencia como en la zona de Wacará ninguna familia se encuentra por debajo de 60%, es decir, ninguna familia se encuentra en alto riesgo para la segunda medición. En la zona de M</w:t>
      </w:r>
      <w:r>
        <w:rPr>
          <w:rFonts w:ascii="Quicksand" w:eastAsia="Quicksand" w:hAnsi="Quicksand" w:cs="Quicksand"/>
        </w:rPr>
        <w:t>acaquiño muy pocas familias permanecen en riesgo medio, mientras que la mayoría están en riesgo bajo, comparados con la línea de base donde la mayoría de familias estaban en riesgo medio. Así mismo, en Timbó de pasó de tener cerca de la mitad de las famili</w:t>
      </w:r>
      <w:r>
        <w:rPr>
          <w:rFonts w:ascii="Quicksand" w:eastAsia="Quicksand" w:hAnsi="Quicksand" w:cs="Quicksand"/>
        </w:rPr>
        <w:t>as en alto riesgo a no tener familias en alto riesgo. En total en toda la zona se evidencia un aumento de las familias en bajo riesgo y actualmente el 54% de las familias se encuentran en esta clasificación. Aún hay familias en alto riesgo, aunque son únic</w:t>
      </w:r>
      <w:r>
        <w:rPr>
          <w:rFonts w:ascii="Quicksand" w:eastAsia="Quicksand" w:hAnsi="Quicksand" w:cs="Quicksand"/>
        </w:rPr>
        <w:t xml:space="preserve">amente el 6% de las familias frente al 12% encontrado en la primera valoración. </w:t>
      </w:r>
    </w:p>
    <w:p w14:paraId="00000193" w14:textId="77777777" w:rsidR="00053842" w:rsidRDefault="00CC2250">
      <w:pPr>
        <w:jc w:val="center"/>
        <w:rPr>
          <w:rFonts w:ascii="Quicksand" w:eastAsia="Quicksand" w:hAnsi="Quicksand" w:cs="Quicksand"/>
          <w:b/>
          <w:sz w:val="20"/>
          <w:szCs w:val="20"/>
        </w:rPr>
      </w:pPr>
      <w:r>
        <w:rPr>
          <w:rFonts w:ascii="Quicksand" w:eastAsia="Quicksand" w:hAnsi="Quicksand" w:cs="Quicksand"/>
          <w:color w:val="7F7F7F"/>
          <w:sz w:val="20"/>
          <w:szCs w:val="20"/>
        </w:rPr>
        <w:lastRenderedPageBreak/>
        <w:t>Gráfico 10: Balance general de visitas domiciliarias por punto de atención.</w:t>
      </w:r>
      <w:r>
        <w:rPr>
          <w:rFonts w:ascii="Quicksand" w:eastAsia="Quicksand" w:hAnsi="Quicksand" w:cs="Quicksand"/>
          <w:b/>
          <w:color w:val="7F7F7F"/>
          <w:sz w:val="20"/>
          <w:szCs w:val="20"/>
        </w:rPr>
        <w:t xml:space="preserve"> </w:t>
      </w:r>
      <w:r>
        <w:rPr>
          <w:rFonts w:ascii="Quicksand" w:eastAsia="Quicksand" w:hAnsi="Quicksand" w:cs="Quicksand"/>
          <w:b/>
          <w:noProof/>
          <w:sz w:val="20"/>
          <w:szCs w:val="20"/>
        </w:rPr>
        <w:drawing>
          <wp:inline distT="0" distB="0" distL="0" distR="0">
            <wp:extent cx="4731651" cy="344193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4731651" cy="3441931"/>
                    </a:xfrm>
                    <a:prstGeom prst="rect">
                      <a:avLst/>
                    </a:prstGeom>
                    <a:ln/>
                  </pic:spPr>
                </pic:pic>
              </a:graphicData>
            </a:graphic>
          </wp:inline>
        </w:drawing>
      </w:r>
      <w:r>
        <w:rPr>
          <w:rFonts w:ascii="Quicksand" w:eastAsia="Quicksand" w:hAnsi="Quicksand" w:cs="Quicksand"/>
          <w:b/>
          <w:sz w:val="20"/>
          <w:szCs w:val="20"/>
        </w:rPr>
        <w:t xml:space="preserve"> </w:t>
      </w:r>
    </w:p>
    <w:p w14:paraId="00000194" w14:textId="77777777" w:rsidR="00053842" w:rsidRDefault="00CC2250">
      <w:pPr>
        <w:spacing w:after="160" w:line="259" w:lineRule="auto"/>
        <w:jc w:val="center"/>
        <w:rPr>
          <w:rFonts w:ascii="Quicksand" w:eastAsia="Quicksand" w:hAnsi="Quicksand" w:cs="Quicksand"/>
          <w:color w:val="808080"/>
          <w:sz w:val="18"/>
          <w:szCs w:val="18"/>
        </w:rPr>
      </w:pPr>
      <w:r>
        <w:rPr>
          <w:rFonts w:ascii="Quicksand" w:eastAsia="Quicksand" w:hAnsi="Quicksand" w:cs="Quicksand"/>
          <w:color w:val="808080"/>
          <w:sz w:val="18"/>
          <w:szCs w:val="18"/>
        </w:rPr>
        <w:t>Fuente Sinergias 2018</w:t>
      </w:r>
    </w:p>
    <w:p w14:paraId="00000195" w14:textId="77777777" w:rsidR="00053842" w:rsidRDefault="00CC2250">
      <w:pPr>
        <w:spacing w:after="160" w:line="259" w:lineRule="auto"/>
        <w:jc w:val="center"/>
        <w:rPr>
          <w:rFonts w:ascii="Calibri" w:eastAsia="Calibri" w:hAnsi="Calibri" w:cs="Calibri"/>
          <w:sz w:val="20"/>
          <w:szCs w:val="20"/>
        </w:rPr>
      </w:pPr>
      <w:r>
        <w:rPr>
          <w:rFonts w:ascii="Quicksand" w:eastAsia="Quicksand" w:hAnsi="Quicksand" w:cs="Quicksand"/>
          <w:color w:val="7F7F7F"/>
          <w:sz w:val="20"/>
          <w:szCs w:val="20"/>
        </w:rPr>
        <w:t>Gráfico 11: Balance general de visitas domiciliarias por punto de atención</w:t>
      </w:r>
      <w:r>
        <w:rPr>
          <w:rFonts w:ascii="Quicksand" w:eastAsia="Quicksand" w:hAnsi="Quicksand" w:cs="Quicksand"/>
          <w:color w:val="7F7F7F"/>
          <w:sz w:val="20"/>
          <w:szCs w:val="20"/>
        </w:rPr>
        <w:t>.</w:t>
      </w:r>
    </w:p>
    <w:p w14:paraId="00000196" w14:textId="77777777" w:rsidR="00053842" w:rsidRDefault="00CC2250">
      <w:pPr>
        <w:jc w:val="center"/>
        <w:rPr>
          <w:rFonts w:ascii="Quicksand" w:eastAsia="Quicksand" w:hAnsi="Quicksand" w:cs="Quicksand"/>
          <w:b/>
          <w:sz w:val="20"/>
          <w:szCs w:val="20"/>
        </w:rPr>
      </w:pPr>
      <w:r>
        <w:rPr>
          <w:rFonts w:ascii="Quicksand" w:eastAsia="Quicksand" w:hAnsi="Quicksand" w:cs="Quicksand"/>
          <w:b/>
          <w:sz w:val="20"/>
          <w:szCs w:val="20"/>
        </w:rPr>
        <w:t xml:space="preserve"> </w:t>
      </w:r>
      <w:r>
        <w:rPr>
          <w:rFonts w:ascii="Quicksand" w:eastAsia="Quicksand" w:hAnsi="Quicksand" w:cs="Quicksand"/>
          <w:b/>
          <w:noProof/>
          <w:sz w:val="20"/>
          <w:szCs w:val="20"/>
        </w:rPr>
        <w:drawing>
          <wp:inline distT="0" distB="0" distL="0" distR="0">
            <wp:extent cx="4572335" cy="3313602"/>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l="28682" t="19704" r="15658" b="8048"/>
                    <a:stretch>
                      <a:fillRect/>
                    </a:stretch>
                  </pic:blipFill>
                  <pic:spPr>
                    <a:xfrm>
                      <a:off x="0" y="0"/>
                      <a:ext cx="4572335" cy="3313602"/>
                    </a:xfrm>
                    <a:prstGeom prst="rect">
                      <a:avLst/>
                    </a:prstGeom>
                    <a:ln/>
                  </pic:spPr>
                </pic:pic>
              </a:graphicData>
            </a:graphic>
          </wp:inline>
        </w:drawing>
      </w:r>
    </w:p>
    <w:p w14:paraId="00000197" w14:textId="77777777" w:rsidR="00053842" w:rsidRDefault="00CC2250">
      <w:pPr>
        <w:spacing w:after="160" w:line="259" w:lineRule="auto"/>
        <w:jc w:val="center"/>
        <w:rPr>
          <w:rFonts w:ascii="Quicksand" w:eastAsia="Quicksand" w:hAnsi="Quicksand" w:cs="Quicksand"/>
          <w:color w:val="808080"/>
          <w:sz w:val="18"/>
          <w:szCs w:val="18"/>
        </w:rPr>
      </w:pPr>
      <w:r>
        <w:rPr>
          <w:rFonts w:ascii="Quicksand" w:eastAsia="Quicksand" w:hAnsi="Quicksand" w:cs="Quicksand"/>
          <w:color w:val="808080"/>
          <w:sz w:val="18"/>
          <w:szCs w:val="18"/>
        </w:rPr>
        <w:t>Fuente Sinergias 2018</w:t>
      </w:r>
    </w:p>
    <w:p w14:paraId="00000198" w14:textId="77777777" w:rsidR="00053842" w:rsidRDefault="00CC2250">
      <w:pPr>
        <w:spacing w:after="160"/>
        <w:jc w:val="both"/>
        <w:rPr>
          <w:rFonts w:ascii="Quicksand" w:eastAsia="Quicksand" w:hAnsi="Quicksand" w:cs="Quicksand"/>
        </w:rPr>
      </w:pPr>
      <w:r>
        <w:rPr>
          <w:rFonts w:ascii="Quicksand" w:eastAsia="Quicksand" w:hAnsi="Quicksand" w:cs="Quicksand"/>
        </w:rPr>
        <w:t>Con todas las familias se desarrolló un plan de mejora para disminuir los factores de riesgo encontrados durante la visita. Únicamente 11 familias no realizaron planes de mejora, para las 314 familias restantes, las acciones variaron entre 1 y 17 acciones.</w:t>
      </w:r>
      <w:r>
        <w:rPr>
          <w:rFonts w:ascii="Quicksand" w:eastAsia="Quicksand" w:hAnsi="Quicksand" w:cs="Quicksand"/>
        </w:rPr>
        <w:t xml:space="preserve"> </w:t>
      </w:r>
    </w:p>
    <w:p w14:paraId="00000199" w14:textId="77777777" w:rsidR="00053842" w:rsidRDefault="00CC2250">
      <w:pPr>
        <w:spacing w:after="160"/>
        <w:jc w:val="both"/>
        <w:rPr>
          <w:rFonts w:ascii="Quicksand" w:eastAsia="Quicksand" w:hAnsi="Quicksand" w:cs="Quicksand"/>
        </w:rPr>
      </w:pPr>
      <w:r>
        <w:rPr>
          <w:rFonts w:ascii="Quicksand" w:eastAsia="Quicksand" w:hAnsi="Quicksand" w:cs="Quicksand"/>
        </w:rPr>
        <w:lastRenderedPageBreak/>
        <w:t>La Tabla 6 muestra el promedio de acciones por cada familia en las 18 comunidades de la zona. Las comunidades de Tucunaré, Trubón y Puerto López son las que en promedio tienen mayor número de acciones por familia. Tucandira y Timbó de Betania son las com</w:t>
      </w:r>
      <w:r>
        <w:rPr>
          <w:rFonts w:ascii="Quicksand" w:eastAsia="Quicksand" w:hAnsi="Quicksand" w:cs="Quicksand"/>
        </w:rPr>
        <w:t xml:space="preserve">unidades donde en promedio las familias establecieron el menor número de acciones en su plan. En total se establecieron 1941 acciones de mejora en toda la zona, con un promedio de 6 acciones por familia. </w:t>
      </w:r>
    </w:p>
    <w:p w14:paraId="0000019A" w14:textId="77777777" w:rsidR="00053842" w:rsidRDefault="00CC2250">
      <w:pPr>
        <w:keepNext/>
        <w:jc w:val="center"/>
        <w:rPr>
          <w:rFonts w:ascii="Quicksand" w:eastAsia="Quicksand" w:hAnsi="Quicksand" w:cs="Quicksand"/>
          <w:color w:val="7F7F7F"/>
          <w:sz w:val="20"/>
          <w:szCs w:val="20"/>
        </w:rPr>
      </w:pPr>
      <w:r>
        <w:rPr>
          <w:rFonts w:ascii="Quicksand" w:eastAsia="Quicksand" w:hAnsi="Quicksand" w:cs="Quicksand"/>
          <w:color w:val="7F7F7F"/>
          <w:sz w:val="20"/>
          <w:szCs w:val="20"/>
        </w:rPr>
        <w:t>Tabla 6: Promedio de acciones por familia, por comu</w:t>
      </w:r>
      <w:r>
        <w:rPr>
          <w:rFonts w:ascii="Quicksand" w:eastAsia="Quicksand" w:hAnsi="Quicksand" w:cs="Quicksand"/>
          <w:color w:val="7F7F7F"/>
          <w:sz w:val="20"/>
          <w:szCs w:val="20"/>
        </w:rPr>
        <w:t>nidad.</w:t>
      </w:r>
    </w:p>
    <w:p w14:paraId="0000019B" w14:textId="77777777" w:rsidR="00053842" w:rsidRDefault="00CC2250">
      <w:pPr>
        <w:keepNext/>
        <w:spacing w:after="200"/>
        <w:jc w:val="center"/>
        <w:rPr>
          <w:rFonts w:ascii="Quicksand" w:eastAsia="Quicksand" w:hAnsi="Quicksand" w:cs="Quicksand"/>
          <w:color w:val="7F7F7F"/>
          <w:sz w:val="18"/>
          <w:szCs w:val="18"/>
        </w:rPr>
      </w:pPr>
      <w:r>
        <w:rPr>
          <w:rFonts w:ascii="Quicksand" w:eastAsia="Quicksand" w:hAnsi="Quicksand" w:cs="Quicksand"/>
          <w:color w:val="7F7F7F"/>
          <w:sz w:val="18"/>
          <w:szCs w:val="18"/>
        </w:rPr>
        <w:t>Fuente Sinergias 2018</w:t>
      </w:r>
    </w:p>
    <w:tbl>
      <w:tblPr>
        <w:tblStyle w:val="a3"/>
        <w:tblW w:w="8681" w:type="dxa"/>
        <w:tblInd w:w="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1969"/>
        <w:gridCol w:w="1305"/>
        <w:gridCol w:w="1405"/>
        <w:gridCol w:w="2176"/>
        <w:gridCol w:w="551"/>
        <w:gridCol w:w="732"/>
        <w:gridCol w:w="543"/>
      </w:tblGrid>
      <w:tr w:rsidR="00053842" w14:paraId="52E594D6" w14:textId="77777777" w:rsidTr="00053842">
        <w:trPr>
          <w:cnfStyle w:val="100000000000" w:firstRow="1" w:lastRow="0" w:firstColumn="0" w:lastColumn="0" w:oddVBand="0" w:evenVBand="0" w:oddHBand="0" w:evenHBand="0" w:firstRowFirstColumn="0" w:firstRowLastColumn="0" w:lastRowFirstColumn="0" w:lastRowLastColumn="0"/>
          <w:trHeight w:val="339"/>
        </w:trPr>
        <w:tc>
          <w:tcPr>
            <w:cnfStyle w:val="001000000100" w:firstRow="0" w:lastRow="0" w:firstColumn="1" w:lastColumn="0" w:oddVBand="0" w:evenVBand="0" w:oddHBand="0" w:evenHBand="0" w:firstRowFirstColumn="1" w:firstRowLastColumn="0" w:lastRowFirstColumn="0" w:lastRowLastColumn="0"/>
            <w:tcW w:w="1969" w:type="dxa"/>
          </w:tcPr>
          <w:p w14:paraId="0000019C" w14:textId="77777777" w:rsidR="00053842" w:rsidRDefault="00CC2250">
            <w:pPr>
              <w:jc w:val="center"/>
              <w:rPr>
                <w:rFonts w:ascii="Quicksand" w:eastAsia="Quicksand" w:hAnsi="Quicksand" w:cs="Quicksand"/>
                <w:sz w:val="18"/>
                <w:szCs w:val="18"/>
              </w:rPr>
            </w:pPr>
            <w:r>
              <w:rPr>
                <w:rFonts w:ascii="Quicksand" w:eastAsia="Quicksand" w:hAnsi="Quicksand" w:cs="Quicksand"/>
                <w:b w:val="0"/>
                <w:sz w:val="18"/>
                <w:szCs w:val="18"/>
              </w:rPr>
              <w:t>Comunidad</w:t>
            </w:r>
          </w:p>
        </w:tc>
        <w:tc>
          <w:tcPr>
            <w:tcW w:w="1305" w:type="dxa"/>
          </w:tcPr>
          <w:p w14:paraId="0000019D" w14:textId="77777777" w:rsidR="00053842" w:rsidRDefault="00CC2250">
            <w:pPr>
              <w:ind w:left="-196" w:right="-278"/>
              <w:jc w:val="center"/>
              <w:cnfStyle w:val="100000000000" w:firstRow="1"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b w:val="0"/>
                <w:sz w:val="18"/>
                <w:szCs w:val="18"/>
              </w:rPr>
              <w:t>Número de familias</w:t>
            </w:r>
          </w:p>
        </w:tc>
        <w:tc>
          <w:tcPr>
            <w:tcW w:w="1405" w:type="dxa"/>
          </w:tcPr>
          <w:p w14:paraId="0000019E" w14:textId="77777777" w:rsidR="00053842" w:rsidRDefault="00CC2250">
            <w:pPr>
              <w:jc w:val="center"/>
              <w:cnfStyle w:val="100000000000" w:firstRow="1"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b w:val="0"/>
                <w:sz w:val="18"/>
                <w:szCs w:val="18"/>
              </w:rPr>
              <w:t>Sumatoria de acciones</w:t>
            </w:r>
          </w:p>
        </w:tc>
        <w:tc>
          <w:tcPr>
            <w:tcW w:w="2176" w:type="dxa"/>
          </w:tcPr>
          <w:p w14:paraId="0000019F" w14:textId="77777777" w:rsidR="00053842" w:rsidRDefault="00CC2250">
            <w:pPr>
              <w:jc w:val="center"/>
              <w:cnfStyle w:val="100000000000" w:firstRow="1"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b w:val="0"/>
                <w:sz w:val="18"/>
                <w:szCs w:val="18"/>
              </w:rPr>
              <w:t>Promedio de acciones por familia</w:t>
            </w:r>
          </w:p>
        </w:tc>
        <w:tc>
          <w:tcPr>
            <w:tcW w:w="551" w:type="dxa"/>
          </w:tcPr>
          <w:p w14:paraId="000001A0" w14:textId="77777777" w:rsidR="00053842" w:rsidRDefault="00CC2250">
            <w:pPr>
              <w:ind w:left="164"/>
              <w:jc w:val="center"/>
              <w:cnfStyle w:val="100000000000" w:firstRow="1"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b w:val="0"/>
                <w:sz w:val="18"/>
                <w:szCs w:val="18"/>
              </w:rPr>
              <w:t>p25</w:t>
            </w:r>
          </w:p>
        </w:tc>
        <w:tc>
          <w:tcPr>
            <w:tcW w:w="732" w:type="dxa"/>
          </w:tcPr>
          <w:p w14:paraId="000001A1" w14:textId="77777777" w:rsidR="00053842" w:rsidRDefault="00CC2250">
            <w:pPr>
              <w:ind w:left="-108"/>
              <w:jc w:val="center"/>
              <w:cnfStyle w:val="100000000000" w:firstRow="1"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b w:val="0"/>
                <w:sz w:val="18"/>
                <w:szCs w:val="18"/>
              </w:rPr>
              <w:t>p50</w:t>
            </w:r>
          </w:p>
        </w:tc>
        <w:tc>
          <w:tcPr>
            <w:tcW w:w="543" w:type="dxa"/>
          </w:tcPr>
          <w:p w14:paraId="000001A2" w14:textId="77777777" w:rsidR="00053842" w:rsidRDefault="00CC2250">
            <w:pPr>
              <w:jc w:val="center"/>
              <w:cnfStyle w:val="100000000000" w:firstRow="1" w:lastRow="0" w:firstColumn="0" w:lastColumn="0" w:oddVBand="0" w:evenVBand="0" w:oddHBand="0" w:evenHBand="0" w:firstRowFirstColumn="0" w:firstRowLastColumn="0" w:lastRowFirstColumn="0" w:lastRowLastColumn="0"/>
              <w:rPr>
                <w:rFonts w:ascii="Quicksand" w:eastAsia="Quicksand" w:hAnsi="Quicksand" w:cs="Quicksand"/>
                <w:sz w:val="18"/>
                <w:szCs w:val="18"/>
              </w:rPr>
            </w:pPr>
            <w:r>
              <w:rPr>
                <w:rFonts w:ascii="Quicksand" w:eastAsia="Quicksand" w:hAnsi="Quicksand" w:cs="Quicksand"/>
                <w:b w:val="0"/>
                <w:sz w:val="18"/>
                <w:szCs w:val="18"/>
              </w:rPr>
              <w:t>p75</w:t>
            </w:r>
          </w:p>
        </w:tc>
      </w:tr>
      <w:tr w:rsidR="00053842" w14:paraId="4C8BB281" w14:textId="77777777" w:rsidTr="0005384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969" w:type="dxa"/>
          </w:tcPr>
          <w:p w14:paraId="000001A3" w14:textId="77777777" w:rsidR="00053842" w:rsidRDefault="00CC2250">
            <w:pPr>
              <w:rPr>
                <w:rFonts w:ascii="Quicksand" w:eastAsia="Quicksand" w:hAnsi="Quicksand" w:cs="Quicksand"/>
                <w:color w:val="000000"/>
                <w:sz w:val="18"/>
                <w:szCs w:val="18"/>
              </w:rPr>
            </w:pPr>
            <w:r>
              <w:rPr>
                <w:rFonts w:ascii="Quicksand" w:eastAsia="Quicksand" w:hAnsi="Quicksand" w:cs="Quicksand"/>
                <w:b w:val="0"/>
                <w:color w:val="000000"/>
                <w:sz w:val="18"/>
                <w:szCs w:val="18"/>
              </w:rPr>
              <w:t>Bogotá Cachivera</w:t>
            </w:r>
          </w:p>
        </w:tc>
        <w:tc>
          <w:tcPr>
            <w:tcW w:w="1305" w:type="dxa"/>
          </w:tcPr>
          <w:p w14:paraId="000001A4"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19</w:t>
            </w:r>
          </w:p>
        </w:tc>
        <w:tc>
          <w:tcPr>
            <w:tcW w:w="1405" w:type="dxa"/>
          </w:tcPr>
          <w:p w14:paraId="000001A5"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86</w:t>
            </w:r>
          </w:p>
        </w:tc>
        <w:tc>
          <w:tcPr>
            <w:tcW w:w="2176" w:type="dxa"/>
          </w:tcPr>
          <w:p w14:paraId="000001A6"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4,5</w:t>
            </w:r>
          </w:p>
        </w:tc>
        <w:tc>
          <w:tcPr>
            <w:tcW w:w="551" w:type="dxa"/>
          </w:tcPr>
          <w:p w14:paraId="000001A7"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3</w:t>
            </w:r>
          </w:p>
        </w:tc>
        <w:tc>
          <w:tcPr>
            <w:tcW w:w="732" w:type="dxa"/>
          </w:tcPr>
          <w:p w14:paraId="000001A8"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4</w:t>
            </w:r>
          </w:p>
        </w:tc>
        <w:tc>
          <w:tcPr>
            <w:tcW w:w="543" w:type="dxa"/>
          </w:tcPr>
          <w:p w14:paraId="000001A9"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6</w:t>
            </w:r>
          </w:p>
        </w:tc>
      </w:tr>
      <w:tr w:rsidR="00053842" w14:paraId="264BD3C2" w14:textId="77777777" w:rsidTr="00053842">
        <w:trPr>
          <w:trHeight w:val="293"/>
        </w:trPr>
        <w:tc>
          <w:tcPr>
            <w:cnfStyle w:val="001000000000" w:firstRow="0" w:lastRow="0" w:firstColumn="1" w:lastColumn="0" w:oddVBand="0" w:evenVBand="0" w:oddHBand="0" w:evenHBand="0" w:firstRowFirstColumn="0" w:firstRowLastColumn="0" w:lastRowFirstColumn="0" w:lastRowLastColumn="0"/>
            <w:tcW w:w="1969" w:type="dxa"/>
          </w:tcPr>
          <w:p w14:paraId="000001AA" w14:textId="77777777" w:rsidR="00053842" w:rsidRDefault="00CC2250">
            <w:pPr>
              <w:rPr>
                <w:rFonts w:ascii="Quicksand" w:eastAsia="Quicksand" w:hAnsi="Quicksand" w:cs="Quicksand"/>
                <w:color w:val="000000"/>
                <w:sz w:val="18"/>
                <w:szCs w:val="18"/>
              </w:rPr>
            </w:pPr>
            <w:r>
              <w:rPr>
                <w:rFonts w:ascii="Quicksand" w:eastAsia="Quicksand" w:hAnsi="Quicksand" w:cs="Quicksand"/>
                <w:b w:val="0"/>
                <w:color w:val="000000"/>
                <w:sz w:val="18"/>
                <w:szCs w:val="18"/>
              </w:rPr>
              <w:t>Ceima Cachivera</w:t>
            </w:r>
          </w:p>
        </w:tc>
        <w:tc>
          <w:tcPr>
            <w:tcW w:w="1305" w:type="dxa"/>
          </w:tcPr>
          <w:p w14:paraId="000001AB"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10</w:t>
            </w:r>
          </w:p>
        </w:tc>
        <w:tc>
          <w:tcPr>
            <w:tcW w:w="1405" w:type="dxa"/>
          </w:tcPr>
          <w:p w14:paraId="000001AC"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58</w:t>
            </w:r>
          </w:p>
        </w:tc>
        <w:tc>
          <w:tcPr>
            <w:tcW w:w="2176" w:type="dxa"/>
          </w:tcPr>
          <w:p w14:paraId="000001AD"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5,8</w:t>
            </w:r>
          </w:p>
        </w:tc>
        <w:tc>
          <w:tcPr>
            <w:tcW w:w="551" w:type="dxa"/>
          </w:tcPr>
          <w:p w14:paraId="000001AE"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5</w:t>
            </w:r>
          </w:p>
        </w:tc>
        <w:tc>
          <w:tcPr>
            <w:tcW w:w="732" w:type="dxa"/>
          </w:tcPr>
          <w:p w14:paraId="000001AF"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6</w:t>
            </w:r>
          </w:p>
        </w:tc>
        <w:tc>
          <w:tcPr>
            <w:tcW w:w="543" w:type="dxa"/>
          </w:tcPr>
          <w:p w14:paraId="000001B0"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7</w:t>
            </w:r>
          </w:p>
        </w:tc>
      </w:tr>
      <w:tr w:rsidR="00053842" w14:paraId="46078B99" w14:textId="77777777" w:rsidTr="0005384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969" w:type="dxa"/>
          </w:tcPr>
          <w:p w14:paraId="000001B1" w14:textId="77777777" w:rsidR="00053842" w:rsidRDefault="00CC2250">
            <w:pPr>
              <w:rPr>
                <w:rFonts w:ascii="Quicksand" w:eastAsia="Quicksand" w:hAnsi="Quicksand" w:cs="Quicksand"/>
                <w:color w:val="000000"/>
                <w:sz w:val="18"/>
                <w:szCs w:val="18"/>
              </w:rPr>
            </w:pPr>
            <w:r>
              <w:rPr>
                <w:rFonts w:ascii="Quicksand" w:eastAsia="Quicksand" w:hAnsi="Quicksand" w:cs="Quicksand"/>
                <w:b w:val="0"/>
                <w:color w:val="000000"/>
                <w:sz w:val="18"/>
                <w:szCs w:val="18"/>
              </w:rPr>
              <w:t>Ceima San Pablo</w:t>
            </w:r>
          </w:p>
        </w:tc>
        <w:tc>
          <w:tcPr>
            <w:tcW w:w="1305" w:type="dxa"/>
          </w:tcPr>
          <w:p w14:paraId="000001B2"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5</w:t>
            </w:r>
          </w:p>
        </w:tc>
        <w:tc>
          <w:tcPr>
            <w:tcW w:w="1405" w:type="dxa"/>
          </w:tcPr>
          <w:p w14:paraId="000001B3"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30</w:t>
            </w:r>
          </w:p>
        </w:tc>
        <w:tc>
          <w:tcPr>
            <w:tcW w:w="2176" w:type="dxa"/>
          </w:tcPr>
          <w:p w14:paraId="000001B4"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6</w:t>
            </w:r>
          </w:p>
        </w:tc>
        <w:tc>
          <w:tcPr>
            <w:tcW w:w="551" w:type="dxa"/>
          </w:tcPr>
          <w:p w14:paraId="000001B5"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6</w:t>
            </w:r>
          </w:p>
        </w:tc>
        <w:tc>
          <w:tcPr>
            <w:tcW w:w="732" w:type="dxa"/>
          </w:tcPr>
          <w:p w14:paraId="000001B6"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7</w:t>
            </w:r>
          </w:p>
        </w:tc>
        <w:tc>
          <w:tcPr>
            <w:tcW w:w="543" w:type="dxa"/>
          </w:tcPr>
          <w:p w14:paraId="000001B7"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8</w:t>
            </w:r>
          </w:p>
        </w:tc>
      </w:tr>
      <w:tr w:rsidR="00053842" w14:paraId="2A83496B" w14:textId="77777777" w:rsidTr="00053842">
        <w:trPr>
          <w:trHeight w:val="293"/>
        </w:trPr>
        <w:tc>
          <w:tcPr>
            <w:cnfStyle w:val="001000000000" w:firstRow="0" w:lastRow="0" w:firstColumn="1" w:lastColumn="0" w:oddVBand="0" w:evenVBand="0" w:oddHBand="0" w:evenHBand="0" w:firstRowFirstColumn="0" w:firstRowLastColumn="0" w:lastRowFirstColumn="0" w:lastRowLastColumn="0"/>
            <w:tcW w:w="1969" w:type="dxa"/>
          </w:tcPr>
          <w:p w14:paraId="000001B8" w14:textId="77777777" w:rsidR="00053842" w:rsidRDefault="00CC2250">
            <w:pPr>
              <w:rPr>
                <w:rFonts w:ascii="Quicksand" w:eastAsia="Quicksand" w:hAnsi="Quicksand" w:cs="Quicksand"/>
                <w:color w:val="000000"/>
                <w:sz w:val="18"/>
                <w:szCs w:val="18"/>
              </w:rPr>
            </w:pPr>
            <w:r>
              <w:rPr>
                <w:rFonts w:ascii="Quicksand" w:eastAsia="Quicksand" w:hAnsi="Quicksand" w:cs="Quicksand"/>
                <w:b w:val="0"/>
                <w:color w:val="000000"/>
                <w:sz w:val="18"/>
                <w:szCs w:val="18"/>
              </w:rPr>
              <w:t>Garrafa</w:t>
            </w:r>
          </w:p>
        </w:tc>
        <w:tc>
          <w:tcPr>
            <w:tcW w:w="1305" w:type="dxa"/>
          </w:tcPr>
          <w:p w14:paraId="000001B9"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19</w:t>
            </w:r>
          </w:p>
        </w:tc>
        <w:tc>
          <w:tcPr>
            <w:tcW w:w="1405" w:type="dxa"/>
          </w:tcPr>
          <w:p w14:paraId="000001BA"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149</w:t>
            </w:r>
          </w:p>
        </w:tc>
        <w:tc>
          <w:tcPr>
            <w:tcW w:w="2176" w:type="dxa"/>
          </w:tcPr>
          <w:p w14:paraId="000001BB"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7,8</w:t>
            </w:r>
          </w:p>
        </w:tc>
        <w:tc>
          <w:tcPr>
            <w:tcW w:w="551" w:type="dxa"/>
          </w:tcPr>
          <w:p w14:paraId="000001BC"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4</w:t>
            </w:r>
          </w:p>
        </w:tc>
        <w:tc>
          <w:tcPr>
            <w:tcW w:w="732" w:type="dxa"/>
          </w:tcPr>
          <w:p w14:paraId="000001BD"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9</w:t>
            </w:r>
          </w:p>
        </w:tc>
        <w:tc>
          <w:tcPr>
            <w:tcW w:w="543" w:type="dxa"/>
          </w:tcPr>
          <w:p w14:paraId="000001BE"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12</w:t>
            </w:r>
          </w:p>
        </w:tc>
      </w:tr>
      <w:tr w:rsidR="00053842" w14:paraId="09A469BD" w14:textId="77777777" w:rsidTr="0005384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969" w:type="dxa"/>
          </w:tcPr>
          <w:p w14:paraId="000001BF" w14:textId="77777777" w:rsidR="00053842" w:rsidRDefault="00CC2250">
            <w:pPr>
              <w:rPr>
                <w:rFonts w:ascii="Quicksand" w:eastAsia="Quicksand" w:hAnsi="Quicksand" w:cs="Quicksand"/>
                <w:color w:val="000000"/>
                <w:sz w:val="18"/>
                <w:szCs w:val="18"/>
              </w:rPr>
            </w:pPr>
            <w:r>
              <w:rPr>
                <w:rFonts w:ascii="Quicksand" w:eastAsia="Quicksand" w:hAnsi="Quicksand" w:cs="Quicksand"/>
                <w:b w:val="0"/>
                <w:color w:val="000000"/>
                <w:sz w:val="18"/>
                <w:szCs w:val="18"/>
              </w:rPr>
              <w:t>Macaquiño</w:t>
            </w:r>
          </w:p>
        </w:tc>
        <w:tc>
          <w:tcPr>
            <w:tcW w:w="1305" w:type="dxa"/>
          </w:tcPr>
          <w:p w14:paraId="000001C0"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23</w:t>
            </w:r>
          </w:p>
        </w:tc>
        <w:tc>
          <w:tcPr>
            <w:tcW w:w="1405" w:type="dxa"/>
          </w:tcPr>
          <w:p w14:paraId="000001C1"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191</w:t>
            </w:r>
          </w:p>
        </w:tc>
        <w:tc>
          <w:tcPr>
            <w:tcW w:w="2176" w:type="dxa"/>
          </w:tcPr>
          <w:p w14:paraId="000001C2"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8,3</w:t>
            </w:r>
          </w:p>
        </w:tc>
        <w:tc>
          <w:tcPr>
            <w:tcW w:w="551" w:type="dxa"/>
          </w:tcPr>
          <w:p w14:paraId="000001C3"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7</w:t>
            </w:r>
          </w:p>
        </w:tc>
        <w:tc>
          <w:tcPr>
            <w:tcW w:w="732" w:type="dxa"/>
          </w:tcPr>
          <w:p w14:paraId="000001C4"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8</w:t>
            </w:r>
          </w:p>
        </w:tc>
        <w:tc>
          <w:tcPr>
            <w:tcW w:w="543" w:type="dxa"/>
          </w:tcPr>
          <w:p w14:paraId="000001C5"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9</w:t>
            </w:r>
          </w:p>
        </w:tc>
      </w:tr>
      <w:tr w:rsidR="00053842" w14:paraId="03791F4D" w14:textId="77777777" w:rsidTr="00053842">
        <w:trPr>
          <w:trHeight w:val="293"/>
        </w:trPr>
        <w:tc>
          <w:tcPr>
            <w:cnfStyle w:val="001000000000" w:firstRow="0" w:lastRow="0" w:firstColumn="1" w:lastColumn="0" w:oddVBand="0" w:evenVBand="0" w:oddHBand="0" w:evenHBand="0" w:firstRowFirstColumn="0" w:firstRowLastColumn="0" w:lastRowFirstColumn="0" w:lastRowLastColumn="0"/>
            <w:tcW w:w="1969" w:type="dxa"/>
          </w:tcPr>
          <w:p w14:paraId="000001C6" w14:textId="77777777" w:rsidR="00053842" w:rsidRDefault="00CC2250">
            <w:pPr>
              <w:rPr>
                <w:rFonts w:ascii="Quicksand" w:eastAsia="Quicksand" w:hAnsi="Quicksand" w:cs="Quicksand"/>
                <w:color w:val="000000"/>
                <w:sz w:val="18"/>
                <w:szCs w:val="18"/>
              </w:rPr>
            </w:pPr>
            <w:r>
              <w:rPr>
                <w:rFonts w:ascii="Quicksand" w:eastAsia="Quicksand" w:hAnsi="Quicksand" w:cs="Quicksand"/>
                <w:b w:val="0"/>
                <w:color w:val="000000"/>
                <w:sz w:val="18"/>
                <w:szCs w:val="18"/>
              </w:rPr>
              <w:t>Macayucá</w:t>
            </w:r>
          </w:p>
        </w:tc>
        <w:tc>
          <w:tcPr>
            <w:tcW w:w="1305" w:type="dxa"/>
          </w:tcPr>
          <w:p w14:paraId="000001C7"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9</w:t>
            </w:r>
          </w:p>
        </w:tc>
        <w:tc>
          <w:tcPr>
            <w:tcW w:w="1405" w:type="dxa"/>
          </w:tcPr>
          <w:p w14:paraId="000001C8"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65</w:t>
            </w:r>
          </w:p>
        </w:tc>
        <w:tc>
          <w:tcPr>
            <w:tcW w:w="2176" w:type="dxa"/>
          </w:tcPr>
          <w:p w14:paraId="000001C9"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7,2</w:t>
            </w:r>
          </w:p>
        </w:tc>
        <w:tc>
          <w:tcPr>
            <w:tcW w:w="551" w:type="dxa"/>
          </w:tcPr>
          <w:p w14:paraId="000001CA"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6</w:t>
            </w:r>
          </w:p>
        </w:tc>
        <w:tc>
          <w:tcPr>
            <w:tcW w:w="732" w:type="dxa"/>
          </w:tcPr>
          <w:p w14:paraId="000001CB"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7</w:t>
            </w:r>
          </w:p>
        </w:tc>
        <w:tc>
          <w:tcPr>
            <w:tcW w:w="543" w:type="dxa"/>
          </w:tcPr>
          <w:p w14:paraId="000001CC"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8</w:t>
            </w:r>
          </w:p>
        </w:tc>
      </w:tr>
      <w:tr w:rsidR="00053842" w14:paraId="58B283D2" w14:textId="77777777" w:rsidTr="0005384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969" w:type="dxa"/>
          </w:tcPr>
          <w:p w14:paraId="000001CD" w14:textId="77777777" w:rsidR="00053842" w:rsidRDefault="00CC2250">
            <w:pPr>
              <w:rPr>
                <w:rFonts w:ascii="Quicksand" w:eastAsia="Quicksand" w:hAnsi="Quicksand" w:cs="Quicksand"/>
                <w:color w:val="000000"/>
                <w:sz w:val="18"/>
                <w:szCs w:val="18"/>
              </w:rPr>
            </w:pPr>
            <w:r>
              <w:rPr>
                <w:rFonts w:ascii="Quicksand" w:eastAsia="Quicksand" w:hAnsi="Quicksand" w:cs="Quicksand"/>
                <w:b w:val="0"/>
                <w:color w:val="000000"/>
                <w:sz w:val="18"/>
                <w:szCs w:val="18"/>
              </w:rPr>
              <w:t>Mituseño</w:t>
            </w:r>
          </w:p>
        </w:tc>
        <w:tc>
          <w:tcPr>
            <w:tcW w:w="1305" w:type="dxa"/>
          </w:tcPr>
          <w:p w14:paraId="000001CE"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25</w:t>
            </w:r>
          </w:p>
        </w:tc>
        <w:tc>
          <w:tcPr>
            <w:tcW w:w="1405" w:type="dxa"/>
          </w:tcPr>
          <w:p w14:paraId="000001CF"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128</w:t>
            </w:r>
          </w:p>
        </w:tc>
        <w:tc>
          <w:tcPr>
            <w:tcW w:w="2176" w:type="dxa"/>
          </w:tcPr>
          <w:p w14:paraId="000001D0"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5,1</w:t>
            </w:r>
          </w:p>
        </w:tc>
        <w:tc>
          <w:tcPr>
            <w:tcW w:w="551" w:type="dxa"/>
          </w:tcPr>
          <w:p w14:paraId="000001D1"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3</w:t>
            </w:r>
          </w:p>
        </w:tc>
        <w:tc>
          <w:tcPr>
            <w:tcW w:w="732" w:type="dxa"/>
          </w:tcPr>
          <w:p w14:paraId="000001D2"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4</w:t>
            </w:r>
          </w:p>
        </w:tc>
        <w:tc>
          <w:tcPr>
            <w:tcW w:w="543" w:type="dxa"/>
          </w:tcPr>
          <w:p w14:paraId="000001D3"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5</w:t>
            </w:r>
          </w:p>
        </w:tc>
      </w:tr>
      <w:tr w:rsidR="00053842" w14:paraId="5377E7A1" w14:textId="77777777" w:rsidTr="00053842">
        <w:trPr>
          <w:trHeight w:val="293"/>
        </w:trPr>
        <w:tc>
          <w:tcPr>
            <w:cnfStyle w:val="001000000000" w:firstRow="0" w:lastRow="0" w:firstColumn="1" w:lastColumn="0" w:oddVBand="0" w:evenVBand="0" w:oddHBand="0" w:evenHBand="0" w:firstRowFirstColumn="0" w:firstRowLastColumn="0" w:lastRowFirstColumn="0" w:lastRowLastColumn="0"/>
            <w:tcW w:w="1969" w:type="dxa"/>
          </w:tcPr>
          <w:p w14:paraId="000001D4" w14:textId="77777777" w:rsidR="00053842" w:rsidRDefault="00CC2250">
            <w:pPr>
              <w:rPr>
                <w:rFonts w:ascii="Quicksand" w:eastAsia="Quicksand" w:hAnsi="Quicksand" w:cs="Quicksand"/>
                <w:color w:val="000000"/>
                <w:sz w:val="18"/>
                <w:szCs w:val="18"/>
              </w:rPr>
            </w:pPr>
            <w:r>
              <w:rPr>
                <w:rFonts w:ascii="Quicksand" w:eastAsia="Quicksand" w:hAnsi="Quicksand" w:cs="Quicksand"/>
                <w:b w:val="0"/>
                <w:color w:val="000000"/>
                <w:sz w:val="18"/>
                <w:szCs w:val="18"/>
              </w:rPr>
              <w:t>Murutinga</w:t>
            </w:r>
          </w:p>
        </w:tc>
        <w:tc>
          <w:tcPr>
            <w:tcW w:w="1305" w:type="dxa"/>
          </w:tcPr>
          <w:p w14:paraId="000001D5"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25</w:t>
            </w:r>
          </w:p>
        </w:tc>
        <w:tc>
          <w:tcPr>
            <w:tcW w:w="1405" w:type="dxa"/>
          </w:tcPr>
          <w:p w14:paraId="000001D6"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111</w:t>
            </w:r>
          </w:p>
        </w:tc>
        <w:tc>
          <w:tcPr>
            <w:tcW w:w="2176" w:type="dxa"/>
          </w:tcPr>
          <w:p w14:paraId="000001D7"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4,4</w:t>
            </w:r>
          </w:p>
        </w:tc>
        <w:tc>
          <w:tcPr>
            <w:tcW w:w="551" w:type="dxa"/>
          </w:tcPr>
          <w:p w14:paraId="000001D8"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3</w:t>
            </w:r>
          </w:p>
        </w:tc>
        <w:tc>
          <w:tcPr>
            <w:tcW w:w="732" w:type="dxa"/>
          </w:tcPr>
          <w:p w14:paraId="000001D9"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4</w:t>
            </w:r>
          </w:p>
        </w:tc>
        <w:tc>
          <w:tcPr>
            <w:tcW w:w="543" w:type="dxa"/>
          </w:tcPr>
          <w:p w14:paraId="000001DA"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6</w:t>
            </w:r>
          </w:p>
        </w:tc>
      </w:tr>
      <w:tr w:rsidR="00053842" w14:paraId="39FDEB3F" w14:textId="77777777" w:rsidTr="0005384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969" w:type="dxa"/>
          </w:tcPr>
          <w:p w14:paraId="000001DB" w14:textId="77777777" w:rsidR="00053842" w:rsidRDefault="00CC2250">
            <w:pPr>
              <w:rPr>
                <w:rFonts w:ascii="Quicksand" w:eastAsia="Quicksand" w:hAnsi="Quicksand" w:cs="Quicksand"/>
                <w:color w:val="000000"/>
                <w:sz w:val="18"/>
                <w:szCs w:val="18"/>
              </w:rPr>
            </w:pPr>
            <w:r>
              <w:rPr>
                <w:rFonts w:ascii="Quicksand" w:eastAsia="Quicksand" w:hAnsi="Quicksand" w:cs="Quicksand"/>
                <w:b w:val="0"/>
                <w:color w:val="000000"/>
                <w:sz w:val="18"/>
                <w:szCs w:val="18"/>
              </w:rPr>
              <w:t>Pueblo Nuevo</w:t>
            </w:r>
          </w:p>
        </w:tc>
        <w:tc>
          <w:tcPr>
            <w:tcW w:w="1305" w:type="dxa"/>
          </w:tcPr>
          <w:p w14:paraId="000001DC"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19</w:t>
            </w:r>
          </w:p>
        </w:tc>
        <w:tc>
          <w:tcPr>
            <w:tcW w:w="1405" w:type="dxa"/>
          </w:tcPr>
          <w:p w14:paraId="000001DD"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129</w:t>
            </w:r>
          </w:p>
        </w:tc>
        <w:tc>
          <w:tcPr>
            <w:tcW w:w="2176" w:type="dxa"/>
          </w:tcPr>
          <w:p w14:paraId="000001DE"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6,8</w:t>
            </w:r>
          </w:p>
        </w:tc>
        <w:tc>
          <w:tcPr>
            <w:tcW w:w="551" w:type="dxa"/>
          </w:tcPr>
          <w:p w14:paraId="000001DF"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5</w:t>
            </w:r>
          </w:p>
        </w:tc>
        <w:tc>
          <w:tcPr>
            <w:tcW w:w="732" w:type="dxa"/>
          </w:tcPr>
          <w:p w14:paraId="000001E0"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7</w:t>
            </w:r>
          </w:p>
        </w:tc>
        <w:tc>
          <w:tcPr>
            <w:tcW w:w="543" w:type="dxa"/>
          </w:tcPr>
          <w:p w14:paraId="000001E1"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8</w:t>
            </w:r>
          </w:p>
        </w:tc>
      </w:tr>
      <w:tr w:rsidR="00053842" w14:paraId="5D36AEF8" w14:textId="77777777" w:rsidTr="00053842">
        <w:trPr>
          <w:trHeight w:val="293"/>
        </w:trPr>
        <w:tc>
          <w:tcPr>
            <w:cnfStyle w:val="001000000000" w:firstRow="0" w:lastRow="0" w:firstColumn="1" w:lastColumn="0" w:oddVBand="0" w:evenVBand="0" w:oddHBand="0" w:evenHBand="0" w:firstRowFirstColumn="0" w:firstRowLastColumn="0" w:lastRowFirstColumn="0" w:lastRowLastColumn="0"/>
            <w:tcW w:w="1969" w:type="dxa"/>
          </w:tcPr>
          <w:p w14:paraId="000001E2" w14:textId="77777777" w:rsidR="00053842" w:rsidRDefault="00CC2250">
            <w:pPr>
              <w:rPr>
                <w:rFonts w:ascii="Quicksand" w:eastAsia="Quicksand" w:hAnsi="Quicksand" w:cs="Quicksand"/>
                <w:color w:val="000000"/>
                <w:sz w:val="18"/>
                <w:szCs w:val="18"/>
              </w:rPr>
            </w:pPr>
            <w:r>
              <w:rPr>
                <w:rFonts w:ascii="Quicksand" w:eastAsia="Quicksand" w:hAnsi="Quicksand" w:cs="Quicksand"/>
                <w:b w:val="0"/>
                <w:color w:val="000000"/>
                <w:sz w:val="18"/>
                <w:szCs w:val="18"/>
              </w:rPr>
              <w:t>Puerto Golondrina</w:t>
            </w:r>
          </w:p>
        </w:tc>
        <w:tc>
          <w:tcPr>
            <w:tcW w:w="1305" w:type="dxa"/>
          </w:tcPr>
          <w:p w14:paraId="000001E3"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14</w:t>
            </w:r>
          </w:p>
        </w:tc>
        <w:tc>
          <w:tcPr>
            <w:tcW w:w="1405" w:type="dxa"/>
          </w:tcPr>
          <w:p w14:paraId="000001E4"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90</w:t>
            </w:r>
          </w:p>
        </w:tc>
        <w:tc>
          <w:tcPr>
            <w:tcW w:w="2176" w:type="dxa"/>
          </w:tcPr>
          <w:p w14:paraId="000001E5"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6,4</w:t>
            </w:r>
          </w:p>
        </w:tc>
        <w:tc>
          <w:tcPr>
            <w:tcW w:w="551" w:type="dxa"/>
          </w:tcPr>
          <w:p w14:paraId="000001E6"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3</w:t>
            </w:r>
          </w:p>
        </w:tc>
        <w:tc>
          <w:tcPr>
            <w:tcW w:w="732" w:type="dxa"/>
          </w:tcPr>
          <w:p w14:paraId="000001E7"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6</w:t>
            </w:r>
          </w:p>
        </w:tc>
        <w:tc>
          <w:tcPr>
            <w:tcW w:w="543" w:type="dxa"/>
          </w:tcPr>
          <w:p w14:paraId="000001E8"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10</w:t>
            </w:r>
          </w:p>
        </w:tc>
      </w:tr>
      <w:tr w:rsidR="00053842" w14:paraId="15E34D31" w14:textId="77777777" w:rsidTr="0005384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969" w:type="dxa"/>
          </w:tcPr>
          <w:p w14:paraId="000001E9" w14:textId="77777777" w:rsidR="00053842" w:rsidRDefault="00CC2250">
            <w:pPr>
              <w:rPr>
                <w:rFonts w:ascii="Quicksand" w:eastAsia="Quicksand" w:hAnsi="Quicksand" w:cs="Quicksand"/>
                <w:color w:val="000000"/>
                <w:sz w:val="18"/>
                <w:szCs w:val="18"/>
              </w:rPr>
            </w:pPr>
            <w:r>
              <w:rPr>
                <w:rFonts w:ascii="Quicksand" w:eastAsia="Quicksand" w:hAnsi="Quicksand" w:cs="Quicksand"/>
                <w:b w:val="0"/>
                <w:color w:val="000000"/>
                <w:sz w:val="18"/>
                <w:szCs w:val="18"/>
              </w:rPr>
              <w:t>Puerto López</w:t>
            </w:r>
          </w:p>
        </w:tc>
        <w:tc>
          <w:tcPr>
            <w:tcW w:w="1305" w:type="dxa"/>
          </w:tcPr>
          <w:p w14:paraId="000001EA"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11</w:t>
            </w:r>
          </w:p>
        </w:tc>
        <w:tc>
          <w:tcPr>
            <w:tcW w:w="1405" w:type="dxa"/>
          </w:tcPr>
          <w:p w14:paraId="000001EB"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95</w:t>
            </w:r>
          </w:p>
        </w:tc>
        <w:tc>
          <w:tcPr>
            <w:tcW w:w="2176" w:type="dxa"/>
          </w:tcPr>
          <w:p w14:paraId="000001EC"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8,6</w:t>
            </w:r>
          </w:p>
        </w:tc>
        <w:tc>
          <w:tcPr>
            <w:tcW w:w="551" w:type="dxa"/>
          </w:tcPr>
          <w:p w14:paraId="000001ED"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5</w:t>
            </w:r>
          </w:p>
        </w:tc>
        <w:tc>
          <w:tcPr>
            <w:tcW w:w="732" w:type="dxa"/>
          </w:tcPr>
          <w:p w14:paraId="000001EE"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6</w:t>
            </w:r>
          </w:p>
        </w:tc>
        <w:tc>
          <w:tcPr>
            <w:tcW w:w="543" w:type="dxa"/>
          </w:tcPr>
          <w:p w14:paraId="000001EF"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11</w:t>
            </w:r>
          </w:p>
        </w:tc>
      </w:tr>
      <w:tr w:rsidR="00053842" w14:paraId="4C151642" w14:textId="77777777" w:rsidTr="00053842">
        <w:trPr>
          <w:trHeight w:val="293"/>
        </w:trPr>
        <w:tc>
          <w:tcPr>
            <w:cnfStyle w:val="001000000000" w:firstRow="0" w:lastRow="0" w:firstColumn="1" w:lastColumn="0" w:oddVBand="0" w:evenVBand="0" w:oddHBand="0" w:evenHBand="0" w:firstRowFirstColumn="0" w:firstRowLastColumn="0" w:lastRowFirstColumn="0" w:lastRowLastColumn="0"/>
            <w:tcW w:w="1969" w:type="dxa"/>
          </w:tcPr>
          <w:p w14:paraId="000001F0" w14:textId="77777777" w:rsidR="00053842" w:rsidRDefault="00CC2250">
            <w:pPr>
              <w:rPr>
                <w:rFonts w:ascii="Quicksand" w:eastAsia="Quicksand" w:hAnsi="Quicksand" w:cs="Quicksand"/>
                <w:color w:val="000000"/>
                <w:sz w:val="18"/>
                <w:szCs w:val="18"/>
              </w:rPr>
            </w:pPr>
            <w:r>
              <w:rPr>
                <w:rFonts w:ascii="Quicksand" w:eastAsia="Quicksand" w:hAnsi="Quicksand" w:cs="Quicksand"/>
                <w:b w:val="0"/>
                <w:color w:val="000000"/>
                <w:sz w:val="18"/>
                <w:szCs w:val="18"/>
              </w:rPr>
              <w:t>Santa Marta</w:t>
            </w:r>
          </w:p>
        </w:tc>
        <w:tc>
          <w:tcPr>
            <w:tcW w:w="1305" w:type="dxa"/>
          </w:tcPr>
          <w:p w14:paraId="000001F1"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29</w:t>
            </w:r>
          </w:p>
        </w:tc>
        <w:tc>
          <w:tcPr>
            <w:tcW w:w="1405" w:type="dxa"/>
          </w:tcPr>
          <w:p w14:paraId="000001F2"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176</w:t>
            </w:r>
          </w:p>
        </w:tc>
        <w:tc>
          <w:tcPr>
            <w:tcW w:w="2176" w:type="dxa"/>
          </w:tcPr>
          <w:p w14:paraId="000001F3"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6,1</w:t>
            </w:r>
          </w:p>
        </w:tc>
        <w:tc>
          <w:tcPr>
            <w:tcW w:w="551" w:type="dxa"/>
          </w:tcPr>
          <w:p w14:paraId="000001F4"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4</w:t>
            </w:r>
          </w:p>
        </w:tc>
        <w:tc>
          <w:tcPr>
            <w:tcW w:w="732" w:type="dxa"/>
          </w:tcPr>
          <w:p w14:paraId="000001F5"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5</w:t>
            </w:r>
          </w:p>
        </w:tc>
        <w:tc>
          <w:tcPr>
            <w:tcW w:w="543" w:type="dxa"/>
          </w:tcPr>
          <w:p w14:paraId="000001F6"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9</w:t>
            </w:r>
          </w:p>
        </w:tc>
      </w:tr>
      <w:tr w:rsidR="00053842" w14:paraId="6003CA6D" w14:textId="77777777" w:rsidTr="0005384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969" w:type="dxa"/>
          </w:tcPr>
          <w:p w14:paraId="000001F7" w14:textId="77777777" w:rsidR="00053842" w:rsidRDefault="00CC2250">
            <w:pPr>
              <w:rPr>
                <w:rFonts w:ascii="Quicksand" w:eastAsia="Quicksand" w:hAnsi="Quicksand" w:cs="Quicksand"/>
                <w:color w:val="000000"/>
                <w:sz w:val="18"/>
                <w:szCs w:val="18"/>
              </w:rPr>
            </w:pPr>
            <w:r>
              <w:rPr>
                <w:rFonts w:ascii="Quicksand" w:eastAsia="Quicksand" w:hAnsi="Quicksand" w:cs="Quicksand"/>
                <w:b w:val="0"/>
                <w:color w:val="000000"/>
                <w:sz w:val="18"/>
                <w:szCs w:val="18"/>
              </w:rPr>
              <w:t>Timbó de Betania</w:t>
            </w:r>
          </w:p>
        </w:tc>
        <w:tc>
          <w:tcPr>
            <w:tcW w:w="1305" w:type="dxa"/>
          </w:tcPr>
          <w:p w14:paraId="000001F8"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17</w:t>
            </w:r>
          </w:p>
        </w:tc>
        <w:tc>
          <w:tcPr>
            <w:tcW w:w="1405" w:type="dxa"/>
          </w:tcPr>
          <w:p w14:paraId="000001F9"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68</w:t>
            </w:r>
          </w:p>
        </w:tc>
        <w:tc>
          <w:tcPr>
            <w:tcW w:w="2176" w:type="dxa"/>
          </w:tcPr>
          <w:p w14:paraId="000001FA"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4</w:t>
            </w:r>
          </w:p>
        </w:tc>
        <w:tc>
          <w:tcPr>
            <w:tcW w:w="551" w:type="dxa"/>
          </w:tcPr>
          <w:p w14:paraId="000001FB"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3</w:t>
            </w:r>
          </w:p>
        </w:tc>
        <w:tc>
          <w:tcPr>
            <w:tcW w:w="732" w:type="dxa"/>
          </w:tcPr>
          <w:p w14:paraId="000001FC"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4</w:t>
            </w:r>
          </w:p>
        </w:tc>
        <w:tc>
          <w:tcPr>
            <w:tcW w:w="543" w:type="dxa"/>
          </w:tcPr>
          <w:p w14:paraId="000001FD"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5</w:t>
            </w:r>
          </w:p>
        </w:tc>
      </w:tr>
      <w:tr w:rsidR="00053842" w14:paraId="0C799962" w14:textId="77777777" w:rsidTr="00053842">
        <w:trPr>
          <w:trHeight w:val="293"/>
        </w:trPr>
        <w:tc>
          <w:tcPr>
            <w:cnfStyle w:val="001000000000" w:firstRow="0" w:lastRow="0" w:firstColumn="1" w:lastColumn="0" w:oddVBand="0" w:evenVBand="0" w:oddHBand="0" w:evenHBand="0" w:firstRowFirstColumn="0" w:firstRowLastColumn="0" w:lastRowFirstColumn="0" w:lastRowLastColumn="0"/>
            <w:tcW w:w="1969" w:type="dxa"/>
          </w:tcPr>
          <w:p w14:paraId="000001FE" w14:textId="77777777" w:rsidR="00053842" w:rsidRDefault="00CC2250">
            <w:pPr>
              <w:rPr>
                <w:rFonts w:ascii="Quicksand" w:eastAsia="Quicksand" w:hAnsi="Quicksand" w:cs="Quicksand"/>
                <w:color w:val="000000"/>
                <w:sz w:val="18"/>
                <w:szCs w:val="18"/>
              </w:rPr>
            </w:pPr>
            <w:r>
              <w:rPr>
                <w:rFonts w:ascii="Quicksand" w:eastAsia="Quicksand" w:hAnsi="Quicksand" w:cs="Quicksand"/>
                <w:b w:val="0"/>
                <w:color w:val="000000"/>
                <w:sz w:val="18"/>
                <w:szCs w:val="18"/>
              </w:rPr>
              <w:t>Trubón</w:t>
            </w:r>
          </w:p>
        </w:tc>
        <w:tc>
          <w:tcPr>
            <w:tcW w:w="1305" w:type="dxa"/>
          </w:tcPr>
          <w:p w14:paraId="000001FF"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18</w:t>
            </w:r>
          </w:p>
        </w:tc>
        <w:tc>
          <w:tcPr>
            <w:tcW w:w="1405" w:type="dxa"/>
          </w:tcPr>
          <w:p w14:paraId="00000200"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155</w:t>
            </w:r>
          </w:p>
        </w:tc>
        <w:tc>
          <w:tcPr>
            <w:tcW w:w="2176" w:type="dxa"/>
          </w:tcPr>
          <w:p w14:paraId="00000201"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8,5</w:t>
            </w:r>
          </w:p>
        </w:tc>
        <w:tc>
          <w:tcPr>
            <w:tcW w:w="551" w:type="dxa"/>
          </w:tcPr>
          <w:p w14:paraId="00000202"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7</w:t>
            </w:r>
          </w:p>
        </w:tc>
        <w:tc>
          <w:tcPr>
            <w:tcW w:w="732" w:type="dxa"/>
          </w:tcPr>
          <w:p w14:paraId="00000203"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9</w:t>
            </w:r>
          </w:p>
        </w:tc>
        <w:tc>
          <w:tcPr>
            <w:tcW w:w="543" w:type="dxa"/>
          </w:tcPr>
          <w:p w14:paraId="00000204"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10</w:t>
            </w:r>
          </w:p>
        </w:tc>
      </w:tr>
      <w:tr w:rsidR="00053842" w14:paraId="2FFDF9A7" w14:textId="77777777" w:rsidTr="0005384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969" w:type="dxa"/>
          </w:tcPr>
          <w:p w14:paraId="00000205" w14:textId="77777777" w:rsidR="00053842" w:rsidRDefault="00CC2250">
            <w:pPr>
              <w:rPr>
                <w:rFonts w:ascii="Quicksand" w:eastAsia="Quicksand" w:hAnsi="Quicksand" w:cs="Quicksand"/>
                <w:color w:val="000000"/>
                <w:sz w:val="18"/>
                <w:szCs w:val="18"/>
              </w:rPr>
            </w:pPr>
            <w:r>
              <w:rPr>
                <w:rFonts w:ascii="Quicksand" w:eastAsia="Quicksand" w:hAnsi="Quicksand" w:cs="Quicksand"/>
                <w:b w:val="0"/>
                <w:color w:val="000000"/>
                <w:sz w:val="18"/>
                <w:szCs w:val="18"/>
              </w:rPr>
              <w:t>Tucandira</w:t>
            </w:r>
          </w:p>
        </w:tc>
        <w:tc>
          <w:tcPr>
            <w:tcW w:w="1305" w:type="dxa"/>
          </w:tcPr>
          <w:p w14:paraId="00000206"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12</w:t>
            </w:r>
          </w:p>
        </w:tc>
        <w:tc>
          <w:tcPr>
            <w:tcW w:w="1405" w:type="dxa"/>
          </w:tcPr>
          <w:p w14:paraId="00000207"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45</w:t>
            </w:r>
          </w:p>
        </w:tc>
        <w:tc>
          <w:tcPr>
            <w:tcW w:w="2176" w:type="dxa"/>
          </w:tcPr>
          <w:p w14:paraId="00000208"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3,8</w:t>
            </w:r>
          </w:p>
        </w:tc>
        <w:tc>
          <w:tcPr>
            <w:tcW w:w="551" w:type="dxa"/>
          </w:tcPr>
          <w:p w14:paraId="00000209"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2</w:t>
            </w:r>
          </w:p>
        </w:tc>
        <w:tc>
          <w:tcPr>
            <w:tcW w:w="732" w:type="dxa"/>
          </w:tcPr>
          <w:p w14:paraId="0000020A"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4,5</w:t>
            </w:r>
          </w:p>
        </w:tc>
        <w:tc>
          <w:tcPr>
            <w:tcW w:w="543" w:type="dxa"/>
          </w:tcPr>
          <w:p w14:paraId="0000020B"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5</w:t>
            </w:r>
          </w:p>
        </w:tc>
      </w:tr>
      <w:tr w:rsidR="00053842" w14:paraId="3D5F4639" w14:textId="77777777" w:rsidTr="00053842">
        <w:trPr>
          <w:trHeight w:val="293"/>
        </w:trPr>
        <w:tc>
          <w:tcPr>
            <w:cnfStyle w:val="001000000000" w:firstRow="0" w:lastRow="0" w:firstColumn="1" w:lastColumn="0" w:oddVBand="0" w:evenVBand="0" w:oddHBand="0" w:evenHBand="0" w:firstRowFirstColumn="0" w:firstRowLastColumn="0" w:lastRowFirstColumn="0" w:lastRowLastColumn="0"/>
            <w:tcW w:w="1969" w:type="dxa"/>
          </w:tcPr>
          <w:p w14:paraId="0000020C" w14:textId="77777777" w:rsidR="00053842" w:rsidRDefault="00CC2250">
            <w:pPr>
              <w:rPr>
                <w:rFonts w:ascii="Quicksand" w:eastAsia="Quicksand" w:hAnsi="Quicksand" w:cs="Quicksand"/>
                <w:color w:val="000000"/>
                <w:sz w:val="18"/>
                <w:szCs w:val="18"/>
              </w:rPr>
            </w:pPr>
            <w:r>
              <w:rPr>
                <w:rFonts w:ascii="Quicksand" w:eastAsia="Quicksand" w:hAnsi="Quicksand" w:cs="Quicksand"/>
                <w:b w:val="0"/>
                <w:color w:val="000000"/>
                <w:sz w:val="18"/>
                <w:szCs w:val="18"/>
              </w:rPr>
              <w:t>Tucunaré</w:t>
            </w:r>
          </w:p>
        </w:tc>
        <w:tc>
          <w:tcPr>
            <w:tcW w:w="1305" w:type="dxa"/>
          </w:tcPr>
          <w:p w14:paraId="0000020D"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15</w:t>
            </w:r>
          </w:p>
        </w:tc>
        <w:tc>
          <w:tcPr>
            <w:tcW w:w="1405" w:type="dxa"/>
          </w:tcPr>
          <w:p w14:paraId="0000020E"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132</w:t>
            </w:r>
          </w:p>
        </w:tc>
        <w:tc>
          <w:tcPr>
            <w:tcW w:w="2176" w:type="dxa"/>
          </w:tcPr>
          <w:p w14:paraId="0000020F"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8,8</w:t>
            </w:r>
          </w:p>
        </w:tc>
        <w:tc>
          <w:tcPr>
            <w:tcW w:w="551" w:type="dxa"/>
          </w:tcPr>
          <w:p w14:paraId="00000210"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8</w:t>
            </w:r>
          </w:p>
        </w:tc>
        <w:tc>
          <w:tcPr>
            <w:tcW w:w="732" w:type="dxa"/>
          </w:tcPr>
          <w:p w14:paraId="00000211"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8</w:t>
            </w:r>
          </w:p>
        </w:tc>
        <w:tc>
          <w:tcPr>
            <w:tcW w:w="543" w:type="dxa"/>
          </w:tcPr>
          <w:p w14:paraId="00000212"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11</w:t>
            </w:r>
          </w:p>
        </w:tc>
      </w:tr>
      <w:tr w:rsidR="00053842" w14:paraId="0B15C849" w14:textId="77777777" w:rsidTr="0005384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969" w:type="dxa"/>
          </w:tcPr>
          <w:p w14:paraId="00000213" w14:textId="77777777" w:rsidR="00053842" w:rsidRDefault="00CC2250">
            <w:pPr>
              <w:rPr>
                <w:rFonts w:ascii="Quicksand" w:eastAsia="Quicksand" w:hAnsi="Quicksand" w:cs="Quicksand"/>
                <w:color w:val="000000"/>
                <w:sz w:val="18"/>
                <w:szCs w:val="18"/>
              </w:rPr>
            </w:pPr>
            <w:r>
              <w:rPr>
                <w:rFonts w:ascii="Quicksand" w:eastAsia="Quicksand" w:hAnsi="Quicksand" w:cs="Quicksand"/>
                <w:b w:val="0"/>
                <w:color w:val="000000"/>
                <w:sz w:val="18"/>
                <w:szCs w:val="18"/>
              </w:rPr>
              <w:t>Wacará</w:t>
            </w:r>
          </w:p>
        </w:tc>
        <w:tc>
          <w:tcPr>
            <w:tcW w:w="1305" w:type="dxa"/>
          </w:tcPr>
          <w:p w14:paraId="00000214"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40</w:t>
            </w:r>
          </w:p>
        </w:tc>
        <w:tc>
          <w:tcPr>
            <w:tcW w:w="1405" w:type="dxa"/>
          </w:tcPr>
          <w:p w14:paraId="00000215"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160</w:t>
            </w:r>
          </w:p>
        </w:tc>
        <w:tc>
          <w:tcPr>
            <w:tcW w:w="2176" w:type="dxa"/>
          </w:tcPr>
          <w:p w14:paraId="00000216"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4</w:t>
            </w:r>
          </w:p>
        </w:tc>
        <w:tc>
          <w:tcPr>
            <w:tcW w:w="551" w:type="dxa"/>
          </w:tcPr>
          <w:p w14:paraId="00000217"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3</w:t>
            </w:r>
          </w:p>
        </w:tc>
        <w:tc>
          <w:tcPr>
            <w:tcW w:w="732" w:type="dxa"/>
          </w:tcPr>
          <w:p w14:paraId="00000218"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4</w:t>
            </w:r>
          </w:p>
        </w:tc>
        <w:tc>
          <w:tcPr>
            <w:tcW w:w="543" w:type="dxa"/>
          </w:tcPr>
          <w:p w14:paraId="00000219"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5</w:t>
            </w:r>
          </w:p>
        </w:tc>
      </w:tr>
      <w:tr w:rsidR="00053842" w14:paraId="5DB1483F" w14:textId="77777777" w:rsidTr="00053842">
        <w:trPr>
          <w:trHeight w:val="293"/>
        </w:trPr>
        <w:tc>
          <w:tcPr>
            <w:cnfStyle w:val="001000000000" w:firstRow="0" w:lastRow="0" w:firstColumn="1" w:lastColumn="0" w:oddVBand="0" w:evenVBand="0" w:oddHBand="0" w:evenHBand="0" w:firstRowFirstColumn="0" w:firstRowLastColumn="0" w:lastRowFirstColumn="0" w:lastRowLastColumn="0"/>
            <w:tcW w:w="1969" w:type="dxa"/>
          </w:tcPr>
          <w:p w14:paraId="0000021A" w14:textId="77777777" w:rsidR="00053842" w:rsidRDefault="00CC2250">
            <w:pPr>
              <w:rPr>
                <w:rFonts w:ascii="Quicksand" w:eastAsia="Quicksand" w:hAnsi="Quicksand" w:cs="Quicksand"/>
                <w:color w:val="000000"/>
                <w:sz w:val="18"/>
                <w:szCs w:val="18"/>
              </w:rPr>
            </w:pPr>
            <w:r>
              <w:rPr>
                <w:rFonts w:ascii="Quicksand" w:eastAsia="Quicksand" w:hAnsi="Quicksand" w:cs="Quicksand"/>
                <w:b w:val="0"/>
                <w:color w:val="000000"/>
                <w:sz w:val="18"/>
                <w:szCs w:val="18"/>
              </w:rPr>
              <w:t>Yararaca</w:t>
            </w:r>
          </w:p>
        </w:tc>
        <w:tc>
          <w:tcPr>
            <w:tcW w:w="1305" w:type="dxa"/>
          </w:tcPr>
          <w:p w14:paraId="0000021B"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14</w:t>
            </w:r>
          </w:p>
        </w:tc>
        <w:tc>
          <w:tcPr>
            <w:tcW w:w="1405" w:type="dxa"/>
          </w:tcPr>
          <w:p w14:paraId="0000021C"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73</w:t>
            </w:r>
          </w:p>
        </w:tc>
        <w:tc>
          <w:tcPr>
            <w:tcW w:w="2176" w:type="dxa"/>
          </w:tcPr>
          <w:p w14:paraId="0000021D"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5,2</w:t>
            </w:r>
          </w:p>
        </w:tc>
        <w:tc>
          <w:tcPr>
            <w:tcW w:w="551" w:type="dxa"/>
          </w:tcPr>
          <w:p w14:paraId="0000021E"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4</w:t>
            </w:r>
          </w:p>
        </w:tc>
        <w:tc>
          <w:tcPr>
            <w:tcW w:w="732" w:type="dxa"/>
          </w:tcPr>
          <w:p w14:paraId="0000021F"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6</w:t>
            </w:r>
          </w:p>
        </w:tc>
        <w:tc>
          <w:tcPr>
            <w:tcW w:w="543" w:type="dxa"/>
          </w:tcPr>
          <w:p w14:paraId="00000220"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18"/>
                <w:szCs w:val="18"/>
              </w:rPr>
            </w:pPr>
            <w:r>
              <w:rPr>
                <w:rFonts w:ascii="Quicksand" w:eastAsia="Quicksand" w:hAnsi="Quicksand" w:cs="Quicksand"/>
                <w:color w:val="000000"/>
                <w:sz w:val="18"/>
                <w:szCs w:val="18"/>
              </w:rPr>
              <w:t>6</w:t>
            </w:r>
          </w:p>
        </w:tc>
      </w:tr>
      <w:tr w:rsidR="00053842" w14:paraId="752D8DC6" w14:textId="77777777" w:rsidTr="0005384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969" w:type="dxa"/>
          </w:tcPr>
          <w:p w14:paraId="00000221" w14:textId="77777777" w:rsidR="00053842" w:rsidRDefault="00CC2250">
            <w:pPr>
              <w:rPr>
                <w:rFonts w:ascii="Quicksand" w:eastAsia="Quicksand" w:hAnsi="Quicksand" w:cs="Quicksand"/>
                <w:color w:val="000000"/>
                <w:sz w:val="18"/>
                <w:szCs w:val="18"/>
              </w:rPr>
            </w:pPr>
            <w:r>
              <w:rPr>
                <w:rFonts w:ascii="Quicksand" w:eastAsia="Quicksand" w:hAnsi="Quicksand" w:cs="Quicksand"/>
                <w:color w:val="000000"/>
                <w:sz w:val="18"/>
                <w:szCs w:val="18"/>
              </w:rPr>
              <w:t>Total</w:t>
            </w:r>
          </w:p>
        </w:tc>
        <w:tc>
          <w:tcPr>
            <w:tcW w:w="1305" w:type="dxa"/>
          </w:tcPr>
          <w:p w14:paraId="00000222"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b/>
                <w:color w:val="000000"/>
                <w:sz w:val="18"/>
                <w:szCs w:val="18"/>
              </w:rPr>
            </w:pPr>
            <w:r>
              <w:rPr>
                <w:rFonts w:ascii="Quicksand" w:eastAsia="Quicksand" w:hAnsi="Quicksand" w:cs="Quicksand"/>
                <w:b/>
                <w:color w:val="000000"/>
                <w:sz w:val="18"/>
                <w:szCs w:val="18"/>
              </w:rPr>
              <w:t>324</w:t>
            </w:r>
          </w:p>
        </w:tc>
        <w:tc>
          <w:tcPr>
            <w:tcW w:w="1405" w:type="dxa"/>
          </w:tcPr>
          <w:p w14:paraId="00000223"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b/>
                <w:color w:val="000000"/>
                <w:sz w:val="18"/>
                <w:szCs w:val="18"/>
              </w:rPr>
            </w:pPr>
            <w:r>
              <w:rPr>
                <w:rFonts w:ascii="Quicksand" w:eastAsia="Quicksand" w:hAnsi="Quicksand" w:cs="Quicksand"/>
                <w:b/>
                <w:color w:val="000000"/>
                <w:sz w:val="18"/>
                <w:szCs w:val="18"/>
              </w:rPr>
              <w:t>1941</w:t>
            </w:r>
          </w:p>
        </w:tc>
        <w:tc>
          <w:tcPr>
            <w:tcW w:w="2176" w:type="dxa"/>
          </w:tcPr>
          <w:p w14:paraId="00000224"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b/>
                <w:color w:val="000000"/>
                <w:sz w:val="18"/>
                <w:szCs w:val="18"/>
              </w:rPr>
            </w:pPr>
            <w:r>
              <w:rPr>
                <w:rFonts w:ascii="Quicksand" w:eastAsia="Quicksand" w:hAnsi="Quicksand" w:cs="Quicksand"/>
                <w:b/>
                <w:color w:val="000000"/>
                <w:sz w:val="18"/>
                <w:szCs w:val="18"/>
              </w:rPr>
              <w:t>6</w:t>
            </w:r>
          </w:p>
        </w:tc>
        <w:tc>
          <w:tcPr>
            <w:tcW w:w="551" w:type="dxa"/>
          </w:tcPr>
          <w:p w14:paraId="00000225"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b/>
                <w:color w:val="000000"/>
                <w:sz w:val="18"/>
                <w:szCs w:val="18"/>
              </w:rPr>
            </w:pPr>
            <w:r>
              <w:rPr>
                <w:rFonts w:ascii="Quicksand" w:eastAsia="Quicksand" w:hAnsi="Quicksand" w:cs="Quicksand"/>
                <w:b/>
                <w:color w:val="000000"/>
                <w:sz w:val="18"/>
                <w:szCs w:val="18"/>
              </w:rPr>
              <w:t>4</w:t>
            </w:r>
          </w:p>
        </w:tc>
        <w:tc>
          <w:tcPr>
            <w:tcW w:w="732" w:type="dxa"/>
          </w:tcPr>
          <w:p w14:paraId="00000226"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b/>
                <w:color w:val="000000"/>
                <w:sz w:val="18"/>
                <w:szCs w:val="18"/>
              </w:rPr>
            </w:pPr>
            <w:r>
              <w:rPr>
                <w:rFonts w:ascii="Quicksand" w:eastAsia="Quicksand" w:hAnsi="Quicksand" w:cs="Quicksand"/>
                <w:b/>
                <w:color w:val="000000"/>
                <w:sz w:val="18"/>
                <w:szCs w:val="18"/>
              </w:rPr>
              <w:t>5</w:t>
            </w:r>
          </w:p>
        </w:tc>
        <w:tc>
          <w:tcPr>
            <w:tcW w:w="543" w:type="dxa"/>
          </w:tcPr>
          <w:p w14:paraId="00000227"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b/>
                <w:color w:val="000000"/>
                <w:sz w:val="18"/>
                <w:szCs w:val="18"/>
              </w:rPr>
            </w:pPr>
            <w:r>
              <w:rPr>
                <w:rFonts w:ascii="Quicksand" w:eastAsia="Quicksand" w:hAnsi="Quicksand" w:cs="Quicksand"/>
                <w:b/>
                <w:color w:val="000000"/>
                <w:sz w:val="18"/>
                <w:szCs w:val="18"/>
              </w:rPr>
              <w:t>8</w:t>
            </w:r>
          </w:p>
        </w:tc>
      </w:tr>
    </w:tbl>
    <w:p w14:paraId="00000228" w14:textId="77777777" w:rsidR="00053842" w:rsidRDefault="00CC2250">
      <w:pPr>
        <w:spacing w:after="160" w:line="259" w:lineRule="auto"/>
        <w:jc w:val="both"/>
        <w:rPr>
          <w:rFonts w:ascii="Quicksand" w:eastAsia="Quicksand" w:hAnsi="Quicksand" w:cs="Quicksand"/>
        </w:rPr>
      </w:pPr>
      <w:r>
        <w:rPr>
          <w:rFonts w:ascii="Quicksand" w:eastAsia="Quicksand" w:hAnsi="Quicksand" w:cs="Quicksand"/>
        </w:rPr>
        <w:t>Las acciones del plan se categorizaron de acuerdo a los diferentes componentes evaluados durante la visita. La Tabla 7 muestra el porcentaje de acciones establecidas para cada uno de los componentes. Como se evidencia en la tabla, cerca de la mitad de acci</w:t>
      </w:r>
      <w:r>
        <w:rPr>
          <w:rFonts w:ascii="Quicksand" w:eastAsia="Quicksand" w:hAnsi="Quicksand" w:cs="Quicksand"/>
        </w:rPr>
        <w:t>ones estuvieron enfocadas al componente de estilos de vida saludable, que como se vio anteriormente mostró una mejoría importante pasando del 72 al 76%. En los componentes de condiciones de la vivienda, manejo y disposición de excretas, basuras y agua y ad</w:t>
      </w:r>
      <w:r>
        <w:rPr>
          <w:rFonts w:ascii="Quicksand" w:eastAsia="Quicksand" w:hAnsi="Quicksand" w:cs="Quicksand"/>
        </w:rPr>
        <w:t>herencia a los programas de P y P también se establecieron un número importante de acciones, y tanto el de P y P como el de manejo de excretas tuvieron una mejoría importante en la segunda visita. Finalmente, los componentes de eventos psicosociales y APGA</w:t>
      </w:r>
      <w:r>
        <w:rPr>
          <w:rFonts w:ascii="Quicksand" w:eastAsia="Quicksand" w:hAnsi="Quicksand" w:cs="Quicksand"/>
        </w:rPr>
        <w:t xml:space="preserve">R familiar fueron en los que menor número de acciones de mejora se establecieron. En este caso, durante las primeras visitas aún no se habían establecido las relaciones de confianza con los auxiliares que permitieran la discusión de estos temas que muchas </w:t>
      </w:r>
      <w:r>
        <w:rPr>
          <w:rFonts w:ascii="Quicksand" w:eastAsia="Quicksand" w:hAnsi="Quicksand" w:cs="Quicksand"/>
        </w:rPr>
        <w:t>veces son sensibles para las familias y requieren de procesos más largos para poder llegar a comprender completamente la situación y poder llegar a acuerdos familiares. Cabe resaltar que ambos componentes se encuentran con puntajes por encima del 90% lo cu</w:t>
      </w:r>
      <w:r>
        <w:rPr>
          <w:rFonts w:ascii="Quicksand" w:eastAsia="Quicksand" w:hAnsi="Quicksand" w:cs="Quicksand"/>
        </w:rPr>
        <w:t>al los cataloga como bajo riesgo.</w:t>
      </w:r>
    </w:p>
    <w:p w14:paraId="00000229" w14:textId="77777777" w:rsidR="00053842" w:rsidRDefault="00CC2250">
      <w:pPr>
        <w:keepNext/>
        <w:spacing w:before="240"/>
        <w:jc w:val="center"/>
        <w:rPr>
          <w:rFonts w:ascii="Quicksand" w:eastAsia="Quicksand" w:hAnsi="Quicksand" w:cs="Quicksand"/>
          <w:color w:val="7F7F7F"/>
          <w:sz w:val="20"/>
          <w:szCs w:val="20"/>
        </w:rPr>
      </w:pPr>
      <w:r>
        <w:rPr>
          <w:rFonts w:ascii="Quicksand" w:eastAsia="Quicksand" w:hAnsi="Quicksand" w:cs="Quicksand"/>
          <w:color w:val="7F7F7F"/>
          <w:sz w:val="20"/>
          <w:szCs w:val="20"/>
        </w:rPr>
        <w:lastRenderedPageBreak/>
        <w:t>Tabla 7: Porcentaje de acciones del plan de salud por componente. Visitas domiciliarias.</w:t>
      </w:r>
    </w:p>
    <w:tbl>
      <w:tblPr>
        <w:tblStyle w:val="a4"/>
        <w:tblW w:w="7836" w:type="dxa"/>
        <w:tblInd w:w="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5516"/>
        <w:gridCol w:w="2320"/>
      </w:tblGrid>
      <w:tr w:rsidR="00053842" w14:paraId="6FA4CC8E" w14:textId="77777777" w:rsidTr="00053842">
        <w:trPr>
          <w:cnfStyle w:val="100000000000" w:firstRow="1" w:lastRow="0" w:firstColumn="0" w:lastColumn="0" w:oddVBand="0" w:evenVBand="0" w:oddHBand="0" w:evenHBand="0" w:firstRowFirstColumn="0" w:firstRowLastColumn="0" w:lastRowFirstColumn="0" w:lastRowLastColumn="0"/>
          <w:trHeight w:val="615"/>
        </w:trPr>
        <w:tc>
          <w:tcPr>
            <w:cnfStyle w:val="001000000100" w:firstRow="0" w:lastRow="0" w:firstColumn="1" w:lastColumn="0" w:oddVBand="0" w:evenVBand="0" w:oddHBand="0" w:evenHBand="0" w:firstRowFirstColumn="1" w:firstRowLastColumn="0" w:lastRowFirstColumn="0" w:lastRowLastColumn="0"/>
            <w:tcW w:w="5516" w:type="dxa"/>
          </w:tcPr>
          <w:p w14:paraId="0000022A" w14:textId="77777777" w:rsidR="00053842" w:rsidRDefault="00CC2250">
            <w:pPr>
              <w:jc w:val="center"/>
              <w:rPr>
                <w:rFonts w:ascii="Quicksand" w:eastAsia="Quicksand" w:hAnsi="Quicksand" w:cs="Quicksand"/>
                <w:sz w:val="20"/>
                <w:szCs w:val="20"/>
              </w:rPr>
            </w:pPr>
            <w:r>
              <w:rPr>
                <w:rFonts w:ascii="Quicksand" w:eastAsia="Quicksand" w:hAnsi="Quicksand" w:cs="Quicksand"/>
                <w:b w:val="0"/>
                <w:sz w:val="20"/>
                <w:szCs w:val="20"/>
              </w:rPr>
              <w:t>COMPONENTE</w:t>
            </w:r>
          </w:p>
        </w:tc>
        <w:tc>
          <w:tcPr>
            <w:tcW w:w="2320" w:type="dxa"/>
          </w:tcPr>
          <w:p w14:paraId="0000022B" w14:textId="77777777" w:rsidR="00053842" w:rsidRDefault="00CC2250">
            <w:pPr>
              <w:jc w:val="center"/>
              <w:cnfStyle w:val="100000000000" w:firstRow="1" w:lastRow="0" w:firstColumn="0" w:lastColumn="0" w:oddVBand="0" w:evenVBand="0" w:oddHBand="0" w:evenHBand="0" w:firstRowFirstColumn="0" w:firstRowLastColumn="0" w:lastRowFirstColumn="0" w:lastRowLastColumn="0"/>
              <w:rPr>
                <w:rFonts w:ascii="Quicksand" w:eastAsia="Quicksand" w:hAnsi="Quicksand" w:cs="Quicksand"/>
                <w:sz w:val="20"/>
                <w:szCs w:val="20"/>
              </w:rPr>
            </w:pPr>
            <w:r>
              <w:rPr>
                <w:rFonts w:ascii="Quicksand" w:eastAsia="Quicksand" w:hAnsi="Quicksand" w:cs="Quicksand"/>
                <w:b w:val="0"/>
                <w:sz w:val="20"/>
                <w:szCs w:val="20"/>
              </w:rPr>
              <w:t>% de acciones establecidas</w:t>
            </w:r>
          </w:p>
        </w:tc>
      </w:tr>
      <w:tr w:rsidR="00053842" w14:paraId="20484585" w14:textId="77777777" w:rsidTr="0005384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6" w:type="dxa"/>
          </w:tcPr>
          <w:p w14:paraId="0000022C" w14:textId="77777777" w:rsidR="00053842" w:rsidRDefault="00CC2250">
            <w:pPr>
              <w:rPr>
                <w:rFonts w:ascii="Quicksand" w:eastAsia="Quicksand" w:hAnsi="Quicksand" w:cs="Quicksand"/>
                <w:color w:val="000000"/>
                <w:sz w:val="20"/>
                <w:szCs w:val="20"/>
              </w:rPr>
            </w:pPr>
            <w:r>
              <w:rPr>
                <w:rFonts w:ascii="Quicksand" w:eastAsia="Quicksand" w:hAnsi="Quicksand" w:cs="Quicksand"/>
                <w:b w:val="0"/>
                <w:color w:val="000000"/>
                <w:sz w:val="20"/>
                <w:szCs w:val="20"/>
              </w:rPr>
              <w:t>I. Condiciones de la vivienda</w:t>
            </w:r>
          </w:p>
        </w:tc>
        <w:tc>
          <w:tcPr>
            <w:tcW w:w="2320" w:type="dxa"/>
            <w:vAlign w:val="center"/>
          </w:tcPr>
          <w:p w14:paraId="0000022D"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20"/>
                <w:szCs w:val="20"/>
              </w:rPr>
            </w:pPr>
            <w:r>
              <w:rPr>
                <w:rFonts w:ascii="Quicksand" w:eastAsia="Quicksand" w:hAnsi="Quicksand" w:cs="Quicksand"/>
                <w:color w:val="000000"/>
                <w:sz w:val="20"/>
                <w:szCs w:val="20"/>
              </w:rPr>
              <w:t>17,1%</w:t>
            </w:r>
          </w:p>
        </w:tc>
      </w:tr>
      <w:tr w:rsidR="00053842" w14:paraId="0F9FC261" w14:textId="77777777" w:rsidTr="00053842">
        <w:trPr>
          <w:trHeight w:val="615"/>
        </w:trPr>
        <w:tc>
          <w:tcPr>
            <w:cnfStyle w:val="001000000000" w:firstRow="0" w:lastRow="0" w:firstColumn="1" w:lastColumn="0" w:oddVBand="0" w:evenVBand="0" w:oddHBand="0" w:evenHBand="0" w:firstRowFirstColumn="0" w:firstRowLastColumn="0" w:lastRowFirstColumn="0" w:lastRowLastColumn="0"/>
            <w:tcW w:w="5516" w:type="dxa"/>
          </w:tcPr>
          <w:p w14:paraId="0000022E" w14:textId="77777777" w:rsidR="00053842" w:rsidRDefault="00CC2250">
            <w:pPr>
              <w:rPr>
                <w:rFonts w:ascii="Quicksand" w:eastAsia="Quicksand" w:hAnsi="Quicksand" w:cs="Quicksand"/>
                <w:color w:val="000000"/>
                <w:sz w:val="20"/>
                <w:szCs w:val="20"/>
              </w:rPr>
            </w:pPr>
            <w:r>
              <w:rPr>
                <w:rFonts w:ascii="Quicksand" w:eastAsia="Quicksand" w:hAnsi="Quicksand" w:cs="Quicksand"/>
                <w:b w:val="0"/>
                <w:color w:val="000000"/>
                <w:sz w:val="20"/>
                <w:szCs w:val="20"/>
              </w:rPr>
              <w:t xml:space="preserve">II. Manejo y disposición de excretas, basuras y agua en la familia </w:t>
            </w:r>
          </w:p>
        </w:tc>
        <w:tc>
          <w:tcPr>
            <w:tcW w:w="2320" w:type="dxa"/>
            <w:vAlign w:val="center"/>
          </w:tcPr>
          <w:p w14:paraId="0000022F"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20"/>
                <w:szCs w:val="20"/>
              </w:rPr>
            </w:pPr>
            <w:r>
              <w:rPr>
                <w:rFonts w:ascii="Quicksand" w:eastAsia="Quicksand" w:hAnsi="Quicksand" w:cs="Quicksand"/>
                <w:color w:val="000000"/>
                <w:sz w:val="20"/>
                <w:szCs w:val="20"/>
              </w:rPr>
              <w:t>17,7%</w:t>
            </w:r>
          </w:p>
        </w:tc>
      </w:tr>
      <w:tr w:rsidR="00053842" w14:paraId="7EF0CC84" w14:textId="77777777" w:rsidTr="00053842">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5516" w:type="dxa"/>
          </w:tcPr>
          <w:p w14:paraId="00000230" w14:textId="77777777" w:rsidR="00053842" w:rsidRDefault="00CC2250">
            <w:pPr>
              <w:rPr>
                <w:rFonts w:ascii="Quicksand" w:eastAsia="Quicksand" w:hAnsi="Quicksand" w:cs="Quicksand"/>
                <w:color w:val="000000"/>
                <w:sz w:val="20"/>
                <w:szCs w:val="20"/>
              </w:rPr>
            </w:pPr>
            <w:r>
              <w:rPr>
                <w:rFonts w:ascii="Quicksand" w:eastAsia="Quicksand" w:hAnsi="Quicksand" w:cs="Quicksand"/>
                <w:b w:val="0"/>
                <w:color w:val="000000"/>
                <w:sz w:val="20"/>
                <w:szCs w:val="20"/>
              </w:rPr>
              <w:t xml:space="preserve">III. Disposición, acceso, consumo y soberanía alimentaria </w:t>
            </w:r>
          </w:p>
        </w:tc>
        <w:tc>
          <w:tcPr>
            <w:tcW w:w="2320" w:type="dxa"/>
            <w:vAlign w:val="center"/>
          </w:tcPr>
          <w:p w14:paraId="00000231"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20"/>
                <w:szCs w:val="20"/>
              </w:rPr>
            </w:pPr>
            <w:r>
              <w:rPr>
                <w:rFonts w:ascii="Quicksand" w:eastAsia="Quicksand" w:hAnsi="Quicksand" w:cs="Quicksand"/>
                <w:color w:val="000000"/>
                <w:sz w:val="20"/>
                <w:szCs w:val="20"/>
              </w:rPr>
              <w:t>1,3%</w:t>
            </w:r>
          </w:p>
        </w:tc>
      </w:tr>
      <w:tr w:rsidR="00053842" w14:paraId="76E2D684" w14:textId="77777777" w:rsidTr="00053842">
        <w:trPr>
          <w:trHeight w:val="315"/>
        </w:trPr>
        <w:tc>
          <w:tcPr>
            <w:cnfStyle w:val="001000000000" w:firstRow="0" w:lastRow="0" w:firstColumn="1" w:lastColumn="0" w:oddVBand="0" w:evenVBand="0" w:oddHBand="0" w:evenHBand="0" w:firstRowFirstColumn="0" w:firstRowLastColumn="0" w:lastRowFirstColumn="0" w:lastRowLastColumn="0"/>
            <w:tcW w:w="5516" w:type="dxa"/>
          </w:tcPr>
          <w:p w14:paraId="00000232" w14:textId="77777777" w:rsidR="00053842" w:rsidRDefault="00CC2250">
            <w:pPr>
              <w:rPr>
                <w:rFonts w:ascii="Quicksand" w:eastAsia="Quicksand" w:hAnsi="Quicksand" w:cs="Quicksand"/>
                <w:color w:val="000000"/>
                <w:sz w:val="20"/>
                <w:szCs w:val="20"/>
              </w:rPr>
            </w:pPr>
            <w:r>
              <w:rPr>
                <w:rFonts w:ascii="Quicksand" w:eastAsia="Quicksand" w:hAnsi="Quicksand" w:cs="Quicksand"/>
                <w:b w:val="0"/>
                <w:color w:val="000000"/>
                <w:sz w:val="20"/>
                <w:szCs w:val="20"/>
              </w:rPr>
              <w:t xml:space="preserve">IV. Estilos de vida saludable </w:t>
            </w:r>
          </w:p>
        </w:tc>
        <w:tc>
          <w:tcPr>
            <w:tcW w:w="2320" w:type="dxa"/>
            <w:vAlign w:val="center"/>
          </w:tcPr>
          <w:p w14:paraId="00000233"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20"/>
                <w:szCs w:val="20"/>
              </w:rPr>
            </w:pPr>
            <w:r>
              <w:rPr>
                <w:rFonts w:ascii="Quicksand" w:eastAsia="Quicksand" w:hAnsi="Quicksand" w:cs="Quicksand"/>
                <w:color w:val="000000"/>
                <w:sz w:val="20"/>
                <w:szCs w:val="20"/>
              </w:rPr>
              <w:t>45,2%</w:t>
            </w:r>
          </w:p>
        </w:tc>
      </w:tr>
      <w:tr w:rsidR="00053842" w14:paraId="774C7BD0" w14:textId="77777777" w:rsidTr="0005384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6" w:type="dxa"/>
          </w:tcPr>
          <w:p w14:paraId="00000234" w14:textId="77777777" w:rsidR="00053842" w:rsidRDefault="00CC2250">
            <w:pPr>
              <w:rPr>
                <w:rFonts w:ascii="Quicksand" w:eastAsia="Quicksand" w:hAnsi="Quicksand" w:cs="Quicksand"/>
                <w:color w:val="000000"/>
                <w:sz w:val="20"/>
                <w:szCs w:val="20"/>
              </w:rPr>
            </w:pPr>
            <w:r>
              <w:rPr>
                <w:rFonts w:ascii="Quicksand" w:eastAsia="Quicksand" w:hAnsi="Quicksand" w:cs="Quicksand"/>
                <w:b w:val="0"/>
                <w:color w:val="000000"/>
                <w:sz w:val="20"/>
                <w:szCs w:val="20"/>
              </w:rPr>
              <w:t xml:space="preserve">V. Situaciones de salud especiales </w:t>
            </w:r>
          </w:p>
        </w:tc>
        <w:tc>
          <w:tcPr>
            <w:tcW w:w="2320" w:type="dxa"/>
            <w:vAlign w:val="center"/>
          </w:tcPr>
          <w:p w14:paraId="00000235"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20"/>
                <w:szCs w:val="20"/>
              </w:rPr>
            </w:pPr>
            <w:r>
              <w:rPr>
                <w:rFonts w:ascii="Quicksand" w:eastAsia="Quicksand" w:hAnsi="Quicksand" w:cs="Quicksand"/>
                <w:color w:val="000000"/>
                <w:sz w:val="20"/>
                <w:szCs w:val="20"/>
              </w:rPr>
              <w:t>0,3%</w:t>
            </w:r>
          </w:p>
        </w:tc>
      </w:tr>
      <w:tr w:rsidR="00053842" w14:paraId="4C36D020" w14:textId="77777777" w:rsidTr="00053842">
        <w:trPr>
          <w:trHeight w:val="315"/>
        </w:trPr>
        <w:tc>
          <w:tcPr>
            <w:cnfStyle w:val="001000000000" w:firstRow="0" w:lastRow="0" w:firstColumn="1" w:lastColumn="0" w:oddVBand="0" w:evenVBand="0" w:oddHBand="0" w:evenHBand="0" w:firstRowFirstColumn="0" w:firstRowLastColumn="0" w:lastRowFirstColumn="0" w:lastRowLastColumn="0"/>
            <w:tcW w:w="5516" w:type="dxa"/>
          </w:tcPr>
          <w:p w14:paraId="00000236" w14:textId="77777777" w:rsidR="00053842" w:rsidRDefault="00CC2250">
            <w:pPr>
              <w:rPr>
                <w:rFonts w:ascii="Quicksand" w:eastAsia="Quicksand" w:hAnsi="Quicksand" w:cs="Quicksand"/>
                <w:color w:val="000000"/>
                <w:sz w:val="20"/>
                <w:szCs w:val="20"/>
              </w:rPr>
            </w:pPr>
            <w:r>
              <w:rPr>
                <w:rFonts w:ascii="Quicksand" w:eastAsia="Quicksand" w:hAnsi="Quicksand" w:cs="Quicksand"/>
                <w:b w:val="0"/>
                <w:color w:val="000000"/>
                <w:sz w:val="20"/>
                <w:szCs w:val="20"/>
              </w:rPr>
              <w:t xml:space="preserve">VI. Enfermedades desatendidas </w:t>
            </w:r>
          </w:p>
        </w:tc>
        <w:tc>
          <w:tcPr>
            <w:tcW w:w="2320" w:type="dxa"/>
            <w:vAlign w:val="center"/>
          </w:tcPr>
          <w:p w14:paraId="00000237"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20"/>
                <w:szCs w:val="20"/>
              </w:rPr>
            </w:pPr>
            <w:r>
              <w:rPr>
                <w:rFonts w:ascii="Quicksand" w:eastAsia="Quicksand" w:hAnsi="Quicksand" w:cs="Quicksand"/>
                <w:color w:val="000000"/>
                <w:sz w:val="20"/>
                <w:szCs w:val="20"/>
              </w:rPr>
              <w:t>0,4%</w:t>
            </w:r>
          </w:p>
        </w:tc>
      </w:tr>
      <w:tr w:rsidR="00053842" w14:paraId="6DDB3550" w14:textId="77777777" w:rsidTr="00053842">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5516" w:type="dxa"/>
          </w:tcPr>
          <w:p w14:paraId="00000238" w14:textId="77777777" w:rsidR="00053842" w:rsidRDefault="00CC2250">
            <w:pPr>
              <w:rPr>
                <w:rFonts w:ascii="Quicksand" w:eastAsia="Quicksand" w:hAnsi="Quicksand" w:cs="Quicksand"/>
                <w:color w:val="000000"/>
                <w:sz w:val="20"/>
                <w:szCs w:val="20"/>
              </w:rPr>
            </w:pPr>
            <w:r>
              <w:rPr>
                <w:rFonts w:ascii="Quicksand" w:eastAsia="Quicksand" w:hAnsi="Quicksand" w:cs="Quicksand"/>
                <w:b w:val="0"/>
                <w:color w:val="000000"/>
                <w:sz w:val="20"/>
                <w:szCs w:val="20"/>
              </w:rPr>
              <w:t>VII. Adherencia a los programas de promoción y prevención del POS</w:t>
            </w:r>
          </w:p>
        </w:tc>
        <w:tc>
          <w:tcPr>
            <w:tcW w:w="2320" w:type="dxa"/>
            <w:vAlign w:val="center"/>
          </w:tcPr>
          <w:p w14:paraId="00000239"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20"/>
                <w:szCs w:val="20"/>
              </w:rPr>
            </w:pPr>
            <w:r>
              <w:rPr>
                <w:rFonts w:ascii="Quicksand" w:eastAsia="Quicksand" w:hAnsi="Quicksand" w:cs="Quicksand"/>
                <w:color w:val="000000"/>
                <w:sz w:val="20"/>
                <w:szCs w:val="20"/>
              </w:rPr>
              <w:t>17,5%</w:t>
            </w:r>
          </w:p>
        </w:tc>
      </w:tr>
      <w:tr w:rsidR="00053842" w14:paraId="0D99282A" w14:textId="77777777" w:rsidTr="00053842">
        <w:trPr>
          <w:trHeight w:val="315"/>
        </w:trPr>
        <w:tc>
          <w:tcPr>
            <w:cnfStyle w:val="001000000000" w:firstRow="0" w:lastRow="0" w:firstColumn="1" w:lastColumn="0" w:oddVBand="0" w:evenVBand="0" w:oddHBand="0" w:evenHBand="0" w:firstRowFirstColumn="0" w:firstRowLastColumn="0" w:lastRowFirstColumn="0" w:lastRowLastColumn="0"/>
            <w:tcW w:w="5516" w:type="dxa"/>
          </w:tcPr>
          <w:p w14:paraId="0000023A" w14:textId="77777777" w:rsidR="00053842" w:rsidRDefault="00CC2250">
            <w:pPr>
              <w:rPr>
                <w:rFonts w:ascii="Quicksand" w:eastAsia="Quicksand" w:hAnsi="Quicksand" w:cs="Quicksand"/>
                <w:color w:val="000000"/>
                <w:sz w:val="20"/>
                <w:szCs w:val="20"/>
              </w:rPr>
            </w:pPr>
            <w:r>
              <w:rPr>
                <w:rFonts w:ascii="Quicksand" w:eastAsia="Quicksand" w:hAnsi="Quicksand" w:cs="Quicksand"/>
                <w:b w:val="0"/>
                <w:color w:val="000000"/>
                <w:sz w:val="20"/>
                <w:szCs w:val="20"/>
              </w:rPr>
              <w:t>VIII. Eventos psicosociales en la familia</w:t>
            </w:r>
          </w:p>
        </w:tc>
        <w:tc>
          <w:tcPr>
            <w:tcW w:w="2320" w:type="dxa"/>
            <w:vAlign w:val="center"/>
          </w:tcPr>
          <w:p w14:paraId="0000023B"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20"/>
                <w:szCs w:val="20"/>
              </w:rPr>
            </w:pPr>
            <w:r>
              <w:rPr>
                <w:rFonts w:ascii="Quicksand" w:eastAsia="Quicksand" w:hAnsi="Quicksand" w:cs="Quicksand"/>
                <w:color w:val="000000"/>
                <w:sz w:val="20"/>
                <w:szCs w:val="20"/>
              </w:rPr>
              <w:t>0,2%</w:t>
            </w:r>
          </w:p>
        </w:tc>
      </w:tr>
      <w:tr w:rsidR="00053842" w14:paraId="47A68E87" w14:textId="77777777" w:rsidTr="0005384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516" w:type="dxa"/>
          </w:tcPr>
          <w:p w14:paraId="0000023C" w14:textId="77777777" w:rsidR="00053842" w:rsidRDefault="00CC2250">
            <w:pPr>
              <w:rPr>
                <w:rFonts w:ascii="Quicksand" w:eastAsia="Quicksand" w:hAnsi="Quicksand" w:cs="Quicksand"/>
                <w:color w:val="000000"/>
                <w:sz w:val="20"/>
                <w:szCs w:val="20"/>
              </w:rPr>
            </w:pPr>
            <w:r>
              <w:rPr>
                <w:rFonts w:ascii="Quicksand" w:eastAsia="Quicksand" w:hAnsi="Quicksand" w:cs="Quicksand"/>
                <w:b w:val="0"/>
                <w:color w:val="000000"/>
                <w:sz w:val="20"/>
                <w:szCs w:val="20"/>
              </w:rPr>
              <w:t>IX. Indicadores de riesgo en el Apgar familiar</w:t>
            </w:r>
          </w:p>
        </w:tc>
        <w:tc>
          <w:tcPr>
            <w:tcW w:w="2320" w:type="dxa"/>
            <w:vAlign w:val="center"/>
          </w:tcPr>
          <w:p w14:paraId="0000023D"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20"/>
                <w:szCs w:val="20"/>
              </w:rPr>
            </w:pPr>
            <w:r>
              <w:rPr>
                <w:rFonts w:ascii="Quicksand" w:eastAsia="Quicksand" w:hAnsi="Quicksand" w:cs="Quicksand"/>
                <w:color w:val="000000"/>
                <w:sz w:val="20"/>
                <w:szCs w:val="20"/>
              </w:rPr>
              <w:t>0,2%</w:t>
            </w:r>
          </w:p>
        </w:tc>
      </w:tr>
      <w:tr w:rsidR="00053842" w14:paraId="5BB69E84" w14:textId="77777777" w:rsidTr="00053842">
        <w:trPr>
          <w:trHeight w:val="315"/>
        </w:trPr>
        <w:tc>
          <w:tcPr>
            <w:cnfStyle w:val="001000000000" w:firstRow="0" w:lastRow="0" w:firstColumn="1" w:lastColumn="0" w:oddVBand="0" w:evenVBand="0" w:oddHBand="0" w:evenHBand="0" w:firstRowFirstColumn="0" w:firstRowLastColumn="0" w:lastRowFirstColumn="0" w:lastRowLastColumn="0"/>
            <w:tcW w:w="5516" w:type="dxa"/>
          </w:tcPr>
          <w:p w14:paraId="0000023E" w14:textId="4A297B86" w:rsidR="00053842" w:rsidRDefault="00CC2250">
            <w:pPr>
              <w:rPr>
                <w:rFonts w:ascii="Quicksand" w:eastAsia="Quicksand" w:hAnsi="Quicksand" w:cs="Quicksand"/>
                <w:color w:val="000000"/>
                <w:sz w:val="20"/>
                <w:szCs w:val="20"/>
              </w:rPr>
            </w:pPr>
            <w:r>
              <w:rPr>
                <w:rFonts w:ascii="Quicksand" w:eastAsia="Quicksand" w:hAnsi="Quicksand" w:cs="Quicksand"/>
                <w:b w:val="0"/>
                <w:color w:val="000000"/>
                <w:sz w:val="20"/>
                <w:szCs w:val="20"/>
              </w:rPr>
              <w:t>Total,</w:t>
            </w:r>
            <w:r>
              <w:rPr>
                <w:rFonts w:ascii="Quicksand" w:eastAsia="Quicksand" w:hAnsi="Quicksand" w:cs="Quicksand"/>
                <w:b w:val="0"/>
                <w:color w:val="000000"/>
                <w:sz w:val="20"/>
                <w:szCs w:val="20"/>
              </w:rPr>
              <w:t xml:space="preserve"> general</w:t>
            </w:r>
          </w:p>
        </w:tc>
        <w:tc>
          <w:tcPr>
            <w:tcW w:w="2320" w:type="dxa"/>
          </w:tcPr>
          <w:p w14:paraId="0000023F"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20"/>
                <w:szCs w:val="20"/>
              </w:rPr>
            </w:pPr>
            <w:r>
              <w:rPr>
                <w:rFonts w:ascii="Quicksand" w:eastAsia="Quicksand" w:hAnsi="Quicksand" w:cs="Quicksand"/>
                <w:color w:val="000000"/>
                <w:sz w:val="20"/>
                <w:szCs w:val="20"/>
              </w:rPr>
              <w:t>100,0%</w:t>
            </w:r>
          </w:p>
        </w:tc>
      </w:tr>
    </w:tbl>
    <w:p w14:paraId="00000240" w14:textId="77777777" w:rsidR="00053842" w:rsidRDefault="00053842">
      <w:pPr>
        <w:spacing w:after="160" w:line="259" w:lineRule="auto"/>
        <w:jc w:val="both"/>
        <w:rPr>
          <w:rFonts w:ascii="Quicksand" w:eastAsia="Quicksand" w:hAnsi="Quicksand" w:cs="Quicksand"/>
        </w:rPr>
      </w:pPr>
    </w:p>
    <w:p w14:paraId="00000241" w14:textId="77777777" w:rsidR="00053842" w:rsidRDefault="00053842">
      <w:pPr>
        <w:spacing w:after="160" w:line="259" w:lineRule="auto"/>
        <w:jc w:val="both"/>
        <w:rPr>
          <w:rFonts w:ascii="Quicksand" w:eastAsia="Quicksand" w:hAnsi="Quicksand" w:cs="Quicksand"/>
        </w:rPr>
      </w:pPr>
    </w:p>
    <w:p w14:paraId="00000242" w14:textId="77777777" w:rsidR="00053842" w:rsidRDefault="00053842">
      <w:pPr>
        <w:spacing w:after="160" w:line="259" w:lineRule="auto"/>
        <w:jc w:val="both"/>
        <w:rPr>
          <w:rFonts w:ascii="Quicksand" w:eastAsia="Quicksand" w:hAnsi="Quicksand" w:cs="Quicksand"/>
        </w:rPr>
      </w:pPr>
    </w:p>
    <w:p w14:paraId="00000243" w14:textId="77777777" w:rsidR="00053842" w:rsidRDefault="00053842">
      <w:pPr>
        <w:spacing w:after="160" w:line="259" w:lineRule="auto"/>
        <w:jc w:val="both"/>
        <w:rPr>
          <w:rFonts w:ascii="Quicksand" w:eastAsia="Quicksand" w:hAnsi="Quicksand" w:cs="Quicksand"/>
        </w:rPr>
      </w:pPr>
    </w:p>
    <w:p w14:paraId="00000244" w14:textId="77777777" w:rsidR="00053842" w:rsidRDefault="00053842">
      <w:pPr>
        <w:spacing w:after="160" w:line="259" w:lineRule="auto"/>
        <w:jc w:val="both"/>
        <w:rPr>
          <w:rFonts w:ascii="Quicksand" w:eastAsia="Quicksand" w:hAnsi="Quicksand" w:cs="Quicksand"/>
        </w:rPr>
      </w:pPr>
    </w:p>
    <w:p w14:paraId="00000245" w14:textId="77777777" w:rsidR="00053842" w:rsidRDefault="00053842">
      <w:pPr>
        <w:spacing w:after="160" w:line="259" w:lineRule="auto"/>
        <w:jc w:val="both"/>
        <w:rPr>
          <w:rFonts w:ascii="Quicksand" w:eastAsia="Quicksand" w:hAnsi="Quicksand" w:cs="Quicksand"/>
        </w:rPr>
      </w:pPr>
    </w:p>
    <w:p w14:paraId="00000246" w14:textId="77777777" w:rsidR="00053842" w:rsidRDefault="00053842">
      <w:pPr>
        <w:spacing w:after="160" w:line="259" w:lineRule="auto"/>
        <w:jc w:val="both"/>
        <w:rPr>
          <w:rFonts w:ascii="Quicksand" w:eastAsia="Quicksand" w:hAnsi="Quicksand" w:cs="Quicksand"/>
        </w:rPr>
      </w:pPr>
    </w:p>
    <w:p w14:paraId="00000247" w14:textId="77777777" w:rsidR="00053842" w:rsidRDefault="00053842">
      <w:pPr>
        <w:spacing w:after="160" w:line="259" w:lineRule="auto"/>
        <w:jc w:val="both"/>
        <w:rPr>
          <w:rFonts w:ascii="Quicksand" w:eastAsia="Quicksand" w:hAnsi="Quicksand" w:cs="Quicksand"/>
        </w:rPr>
      </w:pPr>
    </w:p>
    <w:p w14:paraId="00000248" w14:textId="77777777" w:rsidR="00053842" w:rsidRDefault="00053842">
      <w:pPr>
        <w:spacing w:after="160" w:line="259" w:lineRule="auto"/>
        <w:jc w:val="both"/>
        <w:rPr>
          <w:rFonts w:ascii="Quicksand" w:eastAsia="Quicksand" w:hAnsi="Quicksand" w:cs="Quicksand"/>
        </w:rPr>
      </w:pPr>
    </w:p>
    <w:p w14:paraId="00000249" w14:textId="77777777" w:rsidR="00053842" w:rsidRDefault="00053842">
      <w:pPr>
        <w:spacing w:after="160" w:line="259" w:lineRule="auto"/>
        <w:jc w:val="both"/>
        <w:rPr>
          <w:rFonts w:ascii="Quicksand" w:eastAsia="Quicksand" w:hAnsi="Quicksand" w:cs="Quicksand"/>
        </w:rPr>
      </w:pPr>
    </w:p>
    <w:p w14:paraId="0000024A" w14:textId="77777777" w:rsidR="00053842" w:rsidRDefault="00CC2250">
      <w:pPr>
        <w:spacing w:after="160" w:line="259" w:lineRule="auto"/>
        <w:jc w:val="center"/>
        <w:rPr>
          <w:rFonts w:ascii="Quicksand" w:eastAsia="Quicksand" w:hAnsi="Quicksand" w:cs="Quicksand"/>
          <w:color w:val="808080"/>
          <w:sz w:val="18"/>
          <w:szCs w:val="18"/>
        </w:rPr>
      </w:pPr>
      <w:r>
        <w:rPr>
          <w:rFonts w:ascii="Quicksand" w:eastAsia="Quicksand" w:hAnsi="Quicksand" w:cs="Quicksand"/>
          <w:color w:val="808080"/>
          <w:sz w:val="18"/>
          <w:szCs w:val="18"/>
        </w:rPr>
        <w:t>Fuente: Sinergias 2018</w:t>
      </w:r>
    </w:p>
    <w:p w14:paraId="0000024B" w14:textId="77777777" w:rsidR="00053842" w:rsidRDefault="00CC2250">
      <w:pPr>
        <w:spacing w:after="160" w:line="259" w:lineRule="auto"/>
        <w:jc w:val="both"/>
        <w:rPr>
          <w:rFonts w:ascii="Quicksand" w:eastAsia="Quicksand" w:hAnsi="Quicksand" w:cs="Quicksand"/>
        </w:rPr>
      </w:pPr>
      <w:r>
        <w:rPr>
          <w:rFonts w:ascii="Quicksand" w:eastAsia="Quicksand" w:hAnsi="Quicksand" w:cs="Quicksand"/>
        </w:rPr>
        <w:t>Con las 324 familias que recibieron visitas de seguimiento, se realizó una revisión del plan de salud construido inicialmente y se analizó en conjunto el avance del mismo. Los resultados de estos avances se muestran en el Gráfico 12.</w:t>
      </w:r>
      <w:r>
        <w:rPr>
          <w:rFonts w:ascii="Quicksand" w:eastAsia="Quicksand" w:hAnsi="Quicksand" w:cs="Quicksand"/>
        </w:rPr>
        <w:t xml:space="preserve"> Ahí se muestra el porcentaje de cumplimiento de los planes de salud por cada una de las comunidades. En las comunidades de Mituseño, Puerto Golondrina, Timbó de Betania y Santa Marta, más de la mitad de las acciones las han cumplido al 100%. En Wacará si </w:t>
      </w:r>
      <w:r>
        <w:rPr>
          <w:rFonts w:ascii="Quicksand" w:eastAsia="Quicksand" w:hAnsi="Quicksand" w:cs="Quicksand"/>
        </w:rPr>
        <w:t>bien solo se han cumplido el 7% de las actividades en su totalidad, la gran mayoría de las acciones (98%) se han cumplido al 50% o más. La tabla 8 muestra como el 32% de las acciones propuestas en los planes de salud se habían cumplido en su totalidad, dos</w:t>
      </w:r>
      <w:r>
        <w:rPr>
          <w:rFonts w:ascii="Quicksand" w:eastAsia="Quicksand" w:hAnsi="Quicksand" w:cs="Quicksand"/>
        </w:rPr>
        <w:t xml:space="preserve"> terceras partes de las acciones de encuentran en proceso y únicamente 388 de las 1941 acciones no habían tenido avance al momento de la visita de seguimiento. </w:t>
      </w:r>
    </w:p>
    <w:p w14:paraId="0000024C" w14:textId="77777777" w:rsidR="00053842" w:rsidRDefault="00CC2250">
      <w:pPr>
        <w:keepNext/>
        <w:jc w:val="center"/>
        <w:rPr>
          <w:rFonts w:ascii="Quicksand" w:eastAsia="Quicksand" w:hAnsi="Quicksand" w:cs="Quicksand"/>
          <w:sz w:val="20"/>
          <w:szCs w:val="20"/>
        </w:rPr>
      </w:pPr>
      <w:r>
        <w:rPr>
          <w:rFonts w:ascii="Quicksand" w:eastAsia="Quicksand" w:hAnsi="Quicksand" w:cs="Quicksand"/>
          <w:sz w:val="20"/>
          <w:szCs w:val="20"/>
        </w:rPr>
        <w:t>Tabla 8: Nivel de cumplimiento de las acciones propuestas en los planes de mejora.</w:t>
      </w:r>
    </w:p>
    <w:tbl>
      <w:tblPr>
        <w:tblStyle w:val="a5"/>
        <w:tblW w:w="6204" w:type="dxa"/>
        <w:jc w:val="center"/>
        <w:tblInd w:w="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4077"/>
        <w:gridCol w:w="993"/>
        <w:gridCol w:w="1134"/>
      </w:tblGrid>
      <w:tr w:rsidR="00053842" w14:paraId="07EC271E" w14:textId="77777777" w:rsidTr="00053842">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4077" w:type="dxa"/>
          </w:tcPr>
          <w:p w14:paraId="0000024D" w14:textId="77777777" w:rsidR="00053842" w:rsidRDefault="00CC2250">
            <w:pPr>
              <w:jc w:val="center"/>
              <w:rPr>
                <w:rFonts w:ascii="Quicksand" w:eastAsia="Quicksand" w:hAnsi="Quicksand" w:cs="Quicksand"/>
                <w:sz w:val="20"/>
                <w:szCs w:val="20"/>
              </w:rPr>
            </w:pPr>
            <w:r>
              <w:rPr>
                <w:rFonts w:ascii="Quicksand" w:eastAsia="Quicksand" w:hAnsi="Quicksand" w:cs="Quicksand"/>
                <w:sz w:val="20"/>
                <w:szCs w:val="20"/>
              </w:rPr>
              <w:t>Acciones</w:t>
            </w:r>
          </w:p>
        </w:tc>
        <w:tc>
          <w:tcPr>
            <w:tcW w:w="993" w:type="dxa"/>
          </w:tcPr>
          <w:p w14:paraId="0000024E" w14:textId="77777777" w:rsidR="00053842" w:rsidRDefault="00CC2250">
            <w:pPr>
              <w:jc w:val="center"/>
              <w:cnfStyle w:val="100000000000" w:firstRow="1" w:lastRow="0" w:firstColumn="0" w:lastColumn="0" w:oddVBand="0" w:evenVBand="0" w:oddHBand="0" w:evenHBand="0" w:firstRowFirstColumn="0" w:firstRowLastColumn="0" w:lastRowFirstColumn="0" w:lastRowLastColumn="0"/>
              <w:rPr>
                <w:rFonts w:ascii="Quicksand" w:eastAsia="Quicksand" w:hAnsi="Quicksand" w:cs="Quicksand"/>
                <w:sz w:val="20"/>
                <w:szCs w:val="20"/>
              </w:rPr>
            </w:pPr>
            <w:r>
              <w:rPr>
                <w:rFonts w:ascii="Quicksand" w:eastAsia="Quicksand" w:hAnsi="Quicksand" w:cs="Quicksand"/>
                <w:sz w:val="20"/>
                <w:szCs w:val="20"/>
              </w:rPr>
              <w:t>n</w:t>
            </w:r>
          </w:p>
        </w:tc>
        <w:tc>
          <w:tcPr>
            <w:tcW w:w="1134" w:type="dxa"/>
          </w:tcPr>
          <w:p w14:paraId="0000024F" w14:textId="77777777" w:rsidR="00053842" w:rsidRDefault="00CC2250">
            <w:pPr>
              <w:jc w:val="center"/>
              <w:cnfStyle w:val="100000000000" w:firstRow="1" w:lastRow="0" w:firstColumn="0" w:lastColumn="0" w:oddVBand="0" w:evenVBand="0" w:oddHBand="0" w:evenHBand="0" w:firstRowFirstColumn="0" w:firstRowLastColumn="0" w:lastRowFirstColumn="0" w:lastRowLastColumn="0"/>
              <w:rPr>
                <w:rFonts w:ascii="Quicksand" w:eastAsia="Quicksand" w:hAnsi="Quicksand" w:cs="Quicksand"/>
                <w:sz w:val="20"/>
                <w:szCs w:val="20"/>
              </w:rPr>
            </w:pPr>
            <w:r>
              <w:rPr>
                <w:rFonts w:ascii="Quicksand" w:eastAsia="Quicksand" w:hAnsi="Quicksand" w:cs="Quicksand"/>
                <w:sz w:val="20"/>
                <w:szCs w:val="20"/>
              </w:rPr>
              <w:t>%</w:t>
            </w:r>
          </w:p>
        </w:tc>
      </w:tr>
      <w:tr w:rsidR="00053842" w14:paraId="09A5525D" w14:textId="77777777" w:rsidTr="000538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77" w:type="dxa"/>
          </w:tcPr>
          <w:p w14:paraId="00000250" w14:textId="77777777" w:rsidR="00053842" w:rsidRDefault="00CC2250">
            <w:pPr>
              <w:jc w:val="center"/>
              <w:rPr>
                <w:rFonts w:ascii="Quicksand" w:eastAsia="Quicksand" w:hAnsi="Quicksand" w:cs="Quicksand"/>
                <w:sz w:val="20"/>
                <w:szCs w:val="20"/>
              </w:rPr>
            </w:pPr>
            <w:r>
              <w:rPr>
                <w:rFonts w:ascii="Quicksand" w:eastAsia="Quicksand" w:hAnsi="Quicksand" w:cs="Quicksand"/>
                <w:b w:val="0"/>
                <w:color w:val="000000"/>
                <w:sz w:val="20"/>
                <w:szCs w:val="20"/>
              </w:rPr>
              <w:lastRenderedPageBreak/>
              <w:t>Acciones cumplidas al 100%</w:t>
            </w:r>
          </w:p>
        </w:tc>
        <w:tc>
          <w:tcPr>
            <w:tcW w:w="993" w:type="dxa"/>
          </w:tcPr>
          <w:p w14:paraId="00000251"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20"/>
                <w:szCs w:val="20"/>
              </w:rPr>
            </w:pPr>
            <w:r>
              <w:rPr>
                <w:rFonts w:ascii="Quicksand" w:eastAsia="Quicksand" w:hAnsi="Quicksand" w:cs="Quicksand"/>
                <w:color w:val="000000"/>
                <w:sz w:val="20"/>
                <w:szCs w:val="20"/>
              </w:rPr>
              <w:t>620</w:t>
            </w:r>
          </w:p>
        </w:tc>
        <w:tc>
          <w:tcPr>
            <w:tcW w:w="1134" w:type="dxa"/>
          </w:tcPr>
          <w:p w14:paraId="00000252"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20"/>
                <w:szCs w:val="20"/>
              </w:rPr>
            </w:pPr>
            <w:r>
              <w:rPr>
                <w:rFonts w:ascii="Quicksand" w:eastAsia="Quicksand" w:hAnsi="Quicksand" w:cs="Quicksand"/>
                <w:color w:val="000000"/>
                <w:sz w:val="20"/>
                <w:szCs w:val="20"/>
              </w:rPr>
              <w:t>32%</w:t>
            </w:r>
          </w:p>
        </w:tc>
      </w:tr>
      <w:tr w:rsidR="00053842" w14:paraId="2655708F" w14:textId="77777777" w:rsidTr="00053842">
        <w:trPr>
          <w:jc w:val="center"/>
        </w:trPr>
        <w:tc>
          <w:tcPr>
            <w:cnfStyle w:val="001000000000" w:firstRow="0" w:lastRow="0" w:firstColumn="1" w:lastColumn="0" w:oddVBand="0" w:evenVBand="0" w:oddHBand="0" w:evenHBand="0" w:firstRowFirstColumn="0" w:firstRowLastColumn="0" w:lastRowFirstColumn="0" w:lastRowLastColumn="0"/>
            <w:tcW w:w="4077" w:type="dxa"/>
          </w:tcPr>
          <w:p w14:paraId="00000253" w14:textId="77777777" w:rsidR="00053842" w:rsidRDefault="00CC2250">
            <w:pPr>
              <w:jc w:val="center"/>
              <w:rPr>
                <w:rFonts w:ascii="Quicksand" w:eastAsia="Quicksand" w:hAnsi="Quicksand" w:cs="Quicksand"/>
                <w:sz w:val="20"/>
                <w:szCs w:val="20"/>
              </w:rPr>
            </w:pPr>
            <w:r>
              <w:rPr>
                <w:rFonts w:ascii="Quicksand" w:eastAsia="Quicksand" w:hAnsi="Quicksand" w:cs="Quicksand"/>
                <w:b w:val="0"/>
                <w:color w:val="000000"/>
                <w:sz w:val="20"/>
                <w:szCs w:val="20"/>
              </w:rPr>
              <w:t>Acciones cumplidas al 50% o más</w:t>
            </w:r>
          </w:p>
        </w:tc>
        <w:tc>
          <w:tcPr>
            <w:tcW w:w="993" w:type="dxa"/>
          </w:tcPr>
          <w:p w14:paraId="00000254"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20"/>
                <w:szCs w:val="20"/>
              </w:rPr>
            </w:pPr>
            <w:r>
              <w:rPr>
                <w:rFonts w:ascii="Quicksand" w:eastAsia="Quicksand" w:hAnsi="Quicksand" w:cs="Quicksand"/>
                <w:color w:val="000000"/>
                <w:sz w:val="20"/>
                <w:szCs w:val="20"/>
              </w:rPr>
              <w:t>1395</w:t>
            </w:r>
          </w:p>
        </w:tc>
        <w:tc>
          <w:tcPr>
            <w:tcW w:w="1134" w:type="dxa"/>
          </w:tcPr>
          <w:p w14:paraId="00000255"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color w:val="000000"/>
                <w:sz w:val="20"/>
                <w:szCs w:val="20"/>
              </w:rPr>
            </w:pPr>
            <w:r>
              <w:rPr>
                <w:rFonts w:ascii="Quicksand" w:eastAsia="Quicksand" w:hAnsi="Quicksand" w:cs="Quicksand"/>
                <w:color w:val="000000"/>
                <w:sz w:val="20"/>
                <w:szCs w:val="20"/>
              </w:rPr>
              <w:t>72%</w:t>
            </w:r>
          </w:p>
        </w:tc>
      </w:tr>
      <w:tr w:rsidR="00053842" w14:paraId="36CBEF52" w14:textId="77777777" w:rsidTr="000538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77" w:type="dxa"/>
          </w:tcPr>
          <w:p w14:paraId="00000256" w14:textId="77777777" w:rsidR="00053842" w:rsidRDefault="00CC2250">
            <w:pPr>
              <w:jc w:val="center"/>
              <w:rPr>
                <w:rFonts w:ascii="Quicksand" w:eastAsia="Quicksand" w:hAnsi="Quicksand" w:cs="Quicksand"/>
                <w:sz w:val="20"/>
                <w:szCs w:val="20"/>
              </w:rPr>
            </w:pPr>
            <w:r>
              <w:rPr>
                <w:rFonts w:ascii="Quicksand" w:eastAsia="Quicksand" w:hAnsi="Quicksand" w:cs="Quicksand"/>
                <w:b w:val="0"/>
                <w:color w:val="000000"/>
                <w:sz w:val="20"/>
                <w:szCs w:val="20"/>
              </w:rPr>
              <w:t>Acciones sin cumplimiento</w:t>
            </w:r>
          </w:p>
        </w:tc>
        <w:tc>
          <w:tcPr>
            <w:tcW w:w="993" w:type="dxa"/>
          </w:tcPr>
          <w:p w14:paraId="00000257"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20"/>
                <w:szCs w:val="20"/>
              </w:rPr>
            </w:pPr>
            <w:r>
              <w:rPr>
                <w:rFonts w:ascii="Quicksand" w:eastAsia="Quicksand" w:hAnsi="Quicksand" w:cs="Quicksand"/>
                <w:color w:val="000000"/>
                <w:sz w:val="20"/>
                <w:szCs w:val="20"/>
              </w:rPr>
              <w:t>388</w:t>
            </w:r>
          </w:p>
        </w:tc>
        <w:tc>
          <w:tcPr>
            <w:tcW w:w="1134" w:type="dxa"/>
          </w:tcPr>
          <w:p w14:paraId="00000258" w14:textId="77777777" w:rsidR="00053842" w:rsidRDefault="00CC2250">
            <w:pPr>
              <w:jc w:val="center"/>
              <w:cnfStyle w:val="000000100000" w:firstRow="0" w:lastRow="0" w:firstColumn="0" w:lastColumn="0" w:oddVBand="0" w:evenVBand="0" w:oddHBand="1" w:evenHBand="0" w:firstRowFirstColumn="0" w:firstRowLastColumn="0" w:lastRowFirstColumn="0" w:lastRowLastColumn="0"/>
              <w:rPr>
                <w:rFonts w:ascii="Quicksand" w:eastAsia="Quicksand" w:hAnsi="Quicksand" w:cs="Quicksand"/>
                <w:color w:val="000000"/>
                <w:sz w:val="20"/>
                <w:szCs w:val="20"/>
              </w:rPr>
            </w:pPr>
            <w:r>
              <w:rPr>
                <w:rFonts w:ascii="Quicksand" w:eastAsia="Quicksand" w:hAnsi="Quicksand" w:cs="Quicksand"/>
                <w:color w:val="000000"/>
                <w:sz w:val="20"/>
                <w:szCs w:val="20"/>
              </w:rPr>
              <w:t>20%</w:t>
            </w:r>
          </w:p>
        </w:tc>
      </w:tr>
      <w:tr w:rsidR="00053842" w14:paraId="48A900AB" w14:textId="77777777" w:rsidTr="00053842">
        <w:trPr>
          <w:jc w:val="center"/>
        </w:trPr>
        <w:tc>
          <w:tcPr>
            <w:cnfStyle w:val="001000000000" w:firstRow="0" w:lastRow="0" w:firstColumn="1" w:lastColumn="0" w:oddVBand="0" w:evenVBand="0" w:oddHBand="0" w:evenHBand="0" w:firstRowFirstColumn="0" w:firstRowLastColumn="0" w:lastRowFirstColumn="0" w:lastRowLastColumn="0"/>
            <w:tcW w:w="4077" w:type="dxa"/>
          </w:tcPr>
          <w:p w14:paraId="00000259" w14:textId="62447B95" w:rsidR="00053842" w:rsidRDefault="00CC2250">
            <w:pPr>
              <w:jc w:val="center"/>
              <w:rPr>
                <w:rFonts w:ascii="Quicksand" w:eastAsia="Quicksand" w:hAnsi="Quicksand" w:cs="Quicksand"/>
                <w:sz w:val="20"/>
                <w:szCs w:val="20"/>
              </w:rPr>
            </w:pPr>
            <w:r>
              <w:rPr>
                <w:rFonts w:ascii="Quicksand" w:eastAsia="Quicksand" w:hAnsi="Quicksand" w:cs="Quicksand"/>
                <w:b w:val="0"/>
                <w:sz w:val="20"/>
                <w:szCs w:val="20"/>
              </w:rPr>
              <w:t>Total,</w:t>
            </w:r>
            <w:r>
              <w:rPr>
                <w:rFonts w:ascii="Quicksand" w:eastAsia="Quicksand" w:hAnsi="Quicksand" w:cs="Quicksand"/>
                <w:b w:val="0"/>
                <w:sz w:val="20"/>
                <w:szCs w:val="20"/>
              </w:rPr>
              <w:t xml:space="preserve"> de acciones propuestas</w:t>
            </w:r>
          </w:p>
        </w:tc>
        <w:tc>
          <w:tcPr>
            <w:tcW w:w="993" w:type="dxa"/>
          </w:tcPr>
          <w:p w14:paraId="0000025A" w14:textId="77777777" w:rsidR="00053842" w:rsidRDefault="00CC2250">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20"/>
                <w:szCs w:val="20"/>
              </w:rPr>
            </w:pPr>
            <w:r>
              <w:rPr>
                <w:rFonts w:ascii="Quicksand" w:eastAsia="Quicksand" w:hAnsi="Quicksand" w:cs="Quicksand"/>
                <w:color w:val="000000"/>
                <w:sz w:val="20"/>
                <w:szCs w:val="20"/>
              </w:rPr>
              <w:t>1941</w:t>
            </w:r>
          </w:p>
        </w:tc>
        <w:tc>
          <w:tcPr>
            <w:tcW w:w="1134" w:type="dxa"/>
          </w:tcPr>
          <w:p w14:paraId="0000025B" w14:textId="77777777" w:rsidR="00053842" w:rsidRDefault="00053842">
            <w:pPr>
              <w:jc w:val="center"/>
              <w:cnfStyle w:val="000000000000" w:firstRow="0" w:lastRow="0" w:firstColumn="0" w:lastColumn="0" w:oddVBand="0" w:evenVBand="0" w:oddHBand="0" w:evenHBand="0" w:firstRowFirstColumn="0" w:firstRowLastColumn="0" w:lastRowFirstColumn="0" w:lastRowLastColumn="0"/>
              <w:rPr>
                <w:rFonts w:ascii="Quicksand" w:eastAsia="Quicksand" w:hAnsi="Quicksand" w:cs="Quicksand"/>
                <w:sz w:val="20"/>
                <w:szCs w:val="20"/>
              </w:rPr>
            </w:pPr>
          </w:p>
        </w:tc>
      </w:tr>
    </w:tbl>
    <w:p w14:paraId="0000025C" w14:textId="77777777" w:rsidR="00053842" w:rsidRDefault="00CC2250">
      <w:pPr>
        <w:keepNext/>
        <w:jc w:val="center"/>
        <w:rPr>
          <w:rFonts w:ascii="Quicksand" w:eastAsia="Quicksand" w:hAnsi="Quicksand" w:cs="Quicksand"/>
          <w:sz w:val="20"/>
          <w:szCs w:val="20"/>
        </w:rPr>
      </w:pPr>
      <w:r>
        <w:rPr>
          <w:rFonts w:ascii="Quicksand" w:eastAsia="Quicksand" w:hAnsi="Quicksand" w:cs="Quicksand"/>
          <w:sz w:val="20"/>
          <w:szCs w:val="20"/>
        </w:rPr>
        <w:t>Gráfico 12: Porcentaje de cumplimiento de los planes de salud familiares por comunidad.</w:t>
      </w:r>
    </w:p>
    <w:p w14:paraId="0000025D" w14:textId="77777777" w:rsidR="00053842" w:rsidRDefault="00CC2250">
      <w:pPr>
        <w:spacing w:line="259" w:lineRule="auto"/>
        <w:jc w:val="both"/>
        <w:rPr>
          <w:rFonts w:ascii="Quicksand" w:eastAsia="Quicksand" w:hAnsi="Quicksand" w:cs="Quicksand"/>
        </w:rPr>
      </w:pPr>
      <w:r>
        <w:rPr>
          <w:rFonts w:ascii="Quicksand" w:eastAsia="Quicksand" w:hAnsi="Quicksand" w:cs="Quicksand"/>
          <w:noProof/>
        </w:rPr>
        <w:drawing>
          <wp:inline distT="0" distB="0" distL="0" distR="0">
            <wp:extent cx="5550195" cy="4816549"/>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550195" cy="4816549"/>
                    </a:xfrm>
                    <a:prstGeom prst="rect">
                      <a:avLst/>
                    </a:prstGeom>
                    <a:ln/>
                  </pic:spPr>
                </pic:pic>
              </a:graphicData>
            </a:graphic>
          </wp:inline>
        </w:drawing>
      </w:r>
    </w:p>
    <w:p w14:paraId="0000025E" w14:textId="77777777" w:rsidR="00053842" w:rsidRDefault="00CC2250">
      <w:pPr>
        <w:spacing w:after="160" w:line="259" w:lineRule="auto"/>
        <w:jc w:val="center"/>
        <w:rPr>
          <w:rFonts w:ascii="Quicksand" w:eastAsia="Quicksand" w:hAnsi="Quicksand" w:cs="Quicksand"/>
          <w:color w:val="808080"/>
          <w:sz w:val="18"/>
          <w:szCs w:val="18"/>
        </w:rPr>
      </w:pPr>
      <w:r>
        <w:rPr>
          <w:rFonts w:ascii="Quicksand" w:eastAsia="Quicksand" w:hAnsi="Quicksand" w:cs="Quicksand"/>
          <w:color w:val="808080"/>
          <w:sz w:val="18"/>
          <w:szCs w:val="18"/>
        </w:rPr>
        <w:t>Fuente: Sinergias 2018</w:t>
      </w:r>
    </w:p>
    <w:p w14:paraId="0000025F" w14:textId="77777777" w:rsidR="00053842" w:rsidRDefault="00053842">
      <w:pPr>
        <w:spacing w:after="160" w:line="259" w:lineRule="auto"/>
        <w:jc w:val="both"/>
        <w:rPr>
          <w:rFonts w:ascii="Quicksand" w:eastAsia="Quicksand" w:hAnsi="Quicksand" w:cs="Quicksand"/>
        </w:rPr>
      </w:pPr>
    </w:p>
    <w:p w14:paraId="00000260" w14:textId="77777777" w:rsidR="00053842" w:rsidRDefault="00CC2250">
      <w:pPr>
        <w:pStyle w:val="Ttulo3"/>
        <w:numPr>
          <w:ilvl w:val="1"/>
          <w:numId w:val="1"/>
        </w:numPr>
        <w:spacing w:before="40" w:after="0" w:line="259" w:lineRule="auto"/>
        <w:rPr>
          <w:rFonts w:ascii="Quicksand" w:eastAsia="Quicksand" w:hAnsi="Quicksand" w:cs="Quicksand"/>
          <w:color w:val="843C0B"/>
        </w:rPr>
      </w:pPr>
      <w:bookmarkStart w:id="3" w:name="_1y810tw" w:colFirst="0" w:colLast="0"/>
      <w:bookmarkEnd w:id="3"/>
      <w:r>
        <w:rPr>
          <w:rFonts w:ascii="Quicksand" w:eastAsia="Quicksand" w:hAnsi="Quicksand" w:cs="Quicksand"/>
          <w:color w:val="843C0B"/>
        </w:rPr>
        <w:t>Censo familiar ampliado</w:t>
      </w:r>
    </w:p>
    <w:p w14:paraId="00000261" w14:textId="77777777" w:rsidR="00053842" w:rsidRDefault="00CC2250">
      <w:pPr>
        <w:spacing w:before="240"/>
        <w:jc w:val="both"/>
        <w:rPr>
          <w:rFonts w:ascii="Quicksand" w:eastAsia="Quicksand" w:hAnsi="Quicksand" w:cs="Quicksand"/>
        </w:rPr>
      </w:pPr>
      <w:r>
        <w:rPr>
          <w:rFonts w:ascii="Quicksand" w:eastAsia="Quicksand" w:hAnsi="Quicksand" w:cs="Quicksand"/>
        </w:rPr>
        <w:t>El formato de Censo familiar ampliado permitió recolectar información demográfica básica, además de la información de medidas antropométricas —peso, talla, índice de masa corporal (IMC), circunferencia abdominal— y tensión arterial. Los resultados del anál</w:t>
      </w:r>
      <w:r>
        <w:rPr>
          <w:rFonts w:ascii="Quicksand" w:eastAsia="Quicksand" w:hAnsi="Quicksand" w:cs="Quicksand"/>
        </w:rPr>
        <w:t xml:space="preserve">isis de estas mediciones se describen en una sección aparte, más adelante; y los hallazgos de la información demográfica se presentan a continuación. </w:t>
      </w:r>
    </w:p>
    <w:p w14:paraId="00000262" w14:textId="77777777" w:rsidR="00053842" w:rsidRDefault="00CC2250">
      <w:pPr>
        <w:spacing w:before="240"/>
        <w:jc w:val="both"/>
        <w:rPr>
          <w:rFonts w:ascii="Quicksand" w:eastAsia="Quicksand" w:hAnsi="Quicksand" w:cs="Quicksand"/>
        </w:rPr>
      </w:pPr>
      <w:r>
        <w:rPr>
          <w:rFonts w:ascii="Quicksand" w:eastAsia="Quicksand" w:hAnsi="Quicksand" w:cs="Quicksand"/>
        </w:rPr>
        <w:t>En total fueron censadas 2073 personas, distribuidas en 18 comunidades, algunas de las cuales (como se me</w:t>
      </w:r>
      <w:r>
        <w:rPr>
          <w:rFonts w:ascii="Quicksand" w:eastAsia="Quicksand" w:hAnsi="Quicksand" w:cs="Quicksand"/>
        </w:rPr>
        <w:t xml:space="preserve">ncionó anteriormente) no necesariamente son habitantes permanentes. </w:t>
      </w:r>
    </w:p>
    <w:p w14:paraId="00000263" w14:textId="77777777" w:rsidR="00053842" w:rsidRDefault="00CC2250">
      <w:pPr>
        <w:spacing w:before="240" w:after="160"/>
        <w:jc w:val="both"/>
        <w:rPr>
          <w:rFonts w:ascii="Quicksand" w:eastAsia="Quicksand" w:hAnsi="Quicksand" w:cs="Quicksand"/>
        </w:rPr>
      </w:pPr>
      <w:r>
        <w:rPr>
          <w:rFonts w:ascii="Quicksand" w:eastAsia="Quicksand" w:hAnsi="Quicksand" w:cs="Quicksand"/>
        </w:rPr>
        <w:lastRenderedPageBreak/>
        <w:t xml:space="preserve">El 55.8% de la población censada se acumuló en 7 comunidades, Macaquiño (9,9%), Wacará (9,1%), Murutinga (8,3%), Santa Marta (7,8%), Pueblo Nuevo (6.9%), Trubón (6,9%) y Tucunaré (6,8%). </w:t>
      </w:r>
      <w:r>
        <w:rPr>
          <w:rFonts w:ascii="Quicksand" w:eastAsia="Quicksand" w:hAnsi="Quicksand" w:cs="Quicksand"/>
        </w:rPr>
        <w:t xml:space="preserve">Las comunidades que menos población registraron fueron: Puerto Golondrina (2.9%), Macayucá (2.6%) y Ceima San Pablo (2,2%). </w:t>
      </w:r>
    </w:p>
    <w:p w14:paraId="00000264" w14:textId="77777777" w:rsidR="00053842" w:rsidRDefault="00CC2250">
      <w:pPr>
        <w:spacing w:before="240" w:after="160"/>
        <w:jc w:val="both"/>
        <w:rPr>
          <w:rFonts w:ascii="Quicksand" w:eastAsia="Quicksand" w:hAnsi="Quicksand" w:cs="Quicksand"/>
        </w:rPr>
      </w:pPr>
      <w:r>
        <w:rPr>
          <w:rFonts w:ascii="Quicksand" w:eastAsia="Quicksand" w:hAnsi="Quicksand" w:cs="Quicksand"/>
        </w:rPr>
        <w:t xml:space="preserve">Se obtuvieron datos antropométricos del 81% de la población (1675 personas) y de edad del 95% (1979 personas), cifras que servirán </w:t>
      </w:r>
      <w:r>
        <w:rPr>
          <w:rFonts w:ascii="Quicksand" w:eastAsia="Quicksand" w:hAnsi="Quicksand" w:cs="Quicksand"/>
        </w:rPr>
        <w:t xml:space="preserve">de denominadores para los respectivos análisis (Tabla 9). </w:t>
      </w:r>
    </w:p>
    <w:p w14:paraId="00000265" w14:textId="77777777" w:rsidR="00053842" w:rsidRDefault="00CC2250">
      <w:pPr>
        <w:spacing w:before="240" w:after="160"/>
        <w:jc w:val="both"/>
        <w:rPr>
          <w:rFonts w:ascii="Quicksand" w:eastAsia="Quicksand" w:hAnsi="Quicksand" w:cs="Quicksand"/>
        </w:rPr>
      </w:pPr>
      <w:r>
        <w:rPr>
          <w:rFonts w:ascii="Quicksand" w:eastAsia="Quicksand" w:hAnsi="Quicksand" w:cs="Quicksand"/>
        </w:rPr>
        <w:t>En los casos en los que las familias no estuvieron presentes en el momento de las visitas, se continuará con su búsqueda hasta que el formato de censo sea diligenciado.</w:t>
      </w:r>
    </w:p>
    <w:p w14:paraId="00000266" w14:textId="77777777" w:rsidR="00053842" w:rsidRDefault="00CC2250">
      <w:pPr>
        <w:keepNext/>
        <w:jc w:val="center"/>
        <w:rPr>
          <w:rFonts w:ascii="Quicksand" w:eastAsia="Quicksand" w:hAnsi="Quicksand" w:cs="Quicksand"/>
          <w:i/>
          <w:color w:val="1F4E79"/>
          <w:sz w:val="20"/>
          <w:szCs w:val="20"/>
        </w:rPr>
      </w:pPr>
      <w:r>
        <w:rPr>
          <w:rFonts w:ascii="Quicksand" w:eastAsia="Quicksand" w:hAnsi="Quicksand" w:cs="Quicksand"/>
          <w:color w:val="7F7F7F"/>
          <w:sz w:val="20"/>
          <w:szCs w:val="20"/>
        </w:rPr>
        <w:t xml:space="preserve">Tabla 9: Distribución de la </w:t>
      </w:r>
      <w:r>
        <w:rPr>
          <w:rFonts w:ascii="Quicksand" w:eastAsia="Quicksand" w:hAnsi="Quicksand" w:cs="Quicksand"/>
          <w:color w:val="7F7F7F"/>
          <w:sz w:val="20"/>
          <w:szCs w:val="20"/>
        </w:rPr>
        <w:t>población censada en 18 comunidades del Mitú Vaupés, 2018</w:t>
      </w:r>
    </w:p>
    <w:p w14:paraId="00000267" w14:textId="77777777" w:rsidR="00053842" w:rsidRDefault="00CC2250">
      <w:pPr>
        <w:spacing w:line="259" w:lineRule="auto"/>
        <w:jc w:val="center"/>
        <w:rPr>
          <w:rFonts w:ascii="Quicksand" w:eastAsia="Quicksand" w:hAnsi="Quicksand" w:cs="Quicksand"/>
        </w:rPr>
      </w:pPr>
      <w:r>
        <w:rPr>
          <w:rFonts w:ascii="Quicksand" w:eastAsia="Quicksand" w:hAnsi="Quicksand" w:cs="Quicksand"/>
          <w:noProof/>
        </w:rPr>
        <w:drawing>
          <wp:inline distT="0" distB="0" distL="0" distR="0">
            <wp:extent cx="3327114" cy="3211187"/>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3327114" cy="3211187"/>
                    </a:xfrm>
                    <a:prstGeom prst="rect">
                      <a:avLst/>
                    </a:prstGeom>
                    <a:ln/>
                  </pic:spPr>
                </pic:pic>
              </a:graphicData>
            </a:graphic>
          </wp:inline>
        </w:drawing>
      </w:r>
    </w:p>
    <w:p w14:paraId="00000268" w14:textId="77777777" w:rsidR="00053842" w:rsidRDefault="00CC2250">
      <w:pPr>
        <w:spacing w:line="259" w:lineRule="auto"/>
        <w:jc w:val="center"/>
        <w:rPr>
          <w:rFonts w:ascii="Quicksand" w:eastAsia="Quicksand" w:hAnsi="Quicksand" w:cs="Quicksand"/>
          <w:color w:val="7F7F7F"/>
          <w:sz w:val="18"/>
          <w:szCs w:val="18"/>
        </w:rPr>
      </w:pPr>
      <w:r>
        <w:rPr>
          <w:rFonts w:ascii="Quicksand" w:eastAsia="Quicksand" w:hAnsi="Quicksand" w:cs="Quicksand"/>
          <w:color w:val="7F7F7F"/>
          <w:sz w:val="18"/>
          <w:szCs w:val="18"/>
        </w:rPr>
        <w:t>Fuente: Censo 2017-2018, Sinergias</w:t>
      </w:r>
    </w:p>
    <w:p w14:paraId="00000269" w14:textId="77777777" w:rsidR="00053842" w:rsidRDefault="00CC2250">
      <w:pPr>
        <w:spacing w:before="240" w:after="160"/>
        <w:jc w:val="both"/>
        <w:rPr>
          <w:rFonts w:ascii="Quicksand" w:eastAsia="Quicksand" w:hAnsi="Quicksand" w:cs="Quicksand"/>
        </w:rPr>
      </w:pPr>
      <w:r>
        <w:rPr>
          <w:rFonts w:ascii="Quicksand" w:eastAsia="Quicksand" w:hAnsi="Quicksand" w:cs="Quicksand"/>
        </w:rPr>
        <w:t xml:space="preserve">El 98% de la población está afiliada al Sistema General de Seguridad Social en Salud, 95% al régimen subsidiado, 2% al contributivo y 1% al régimen especial. La </w:t>
      </w:r>
      <w:r>
        <w:rPr>
          <w:rFonts w:ascii="Quicksand" w:eastAsia="Quicksand" w:hAnsi="Quicksand" w:cs="Quicksand"/>
        </w:rPr>
        <w:t xml:space="preserve">distribución de la población por empresa administradora de planes de beneficios (EAPB) y por zona se presenta en la gráfica 2. El 60% está afiliado a la Nueva EPS y 35.4% a Mallamás. Esta última tiene su participación principal en la zona de la Carretera. </w:t>
      </w:r>
      <w:r>
        <w:rPr>
          <w:rFonts w:ascii="Quicksand" w:eastAsia="Quicksand" w:hAnsi="Quicksand" w:cs="Quicksand"/>
        </w:rPr>
        <w:t>Gráfico 13</w:t>
      </w:r>
    </w:p>
    <w:p w14:paraId="0000026A" w14:textId="77777777" w:rsidR="00053842" w:rsidRDefault="00CC2250">
      <w:pPr>
        <w:keepNext/>
        <w:jc w:val="center"/>
        <w:rPr>
          <w:rFonts w:ascii="Quicksand" w:eastAsia="Quicksand" w:hAnsi="Quicksand" w:cs="Quicksand"/>
          <w:i/>
          <w:color w:val="1F4E79"/>
          <w:sz w:val="20"/>
          <w:szCs w:val="20"/>
        </w:rPr>
      </w:pPr>
      <w:r>
        <w:rPr>
          <w:rFonts w:ascii="Quicksand" w:eastAsia="Quicksand" w:hAnsi="Quicksand" w:cs="Quicksand"/>
          <w:sz w:val="20"/>
          <w:szCs w:val="20"/>
        </w:rPr>
        <w:lastRenderedPageBreak/>
        <w:t xml:space="preserve">Gráfico 13: </w:t>
      </w:r>
      <w:r>
        <w:rPr>
          <w:rFonts w:ascii="Quicksand" w:eastAsia="Quicksand" w:hAnsi="Quicksand" w:cs="Quicksand"/>
          <w:color w:val="7F7F7F"/>
          <w:sz w:val="20"/>
          <w:szCs w:val="20"/>
        </w:rPr>
        <w:t>Distribución de la población censada por EAPB y por zona, 18 comunidades. Mitú, Vaupés.</w:t>
      </w:r>
      <w:r>
        <w:rPr>
          <w:rFonts w:ascii="Quicksand" w:eastAsia="Quicksand" w:hAnsi="Quicksand" w:cs="Quicksand"/>
          <w:color w:val="1F4E79"/>
          <w:sz w:val="20"/>
          <w:szCs w:val="20"/>
        </w:rPr>
        <w:t xml:space="preserve"> </w:t>
      </w:r>
    </w:p>
    <w:p w14:paraId="0000026B" w14:textId="77777777" w:rsidR="00053842" w:rsidRDefault="00CC2250">
      <w:pPr>
        <w:spacing w:line="259" w:lineRule="auto"/>
        <w:jc w:val="center"/>
        <w:rPr>
          <w:rFonts w:ascii="Quicksand" w:eastAsia="Quicksand" w:hAnsi="Quicksand" w:cs="Quicksand"/>
          <w:sz w:val="18"/>
          <w:szCs w:val="18"/>
        </w:rPr>
      </w:pPr>
      <w:r>
        <w:rPr>
          <w:rFonts w:ascii="Quicksand" w:eastAsia="Quicksand" w:hAnsi="Quicksand" w:cs="Quicksand"/>
          <w:noProof/>
        </w:rPr>
        <w:drawing>
          <wp:inline distT="0" distB="0" distL="0" distR="0">
            <wp:extent cx="3969627" cy="2910071"/>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969627" cy="2910071"/>
                    </a:xfrm>
                    <a:prstGeom prst="rect">
                      <a:avLst/>
                    </a:prstGeom>
                    <a:ln/>
                  </pic:spPr>
                </pic:pic>
              </a:graphicData>
            </a:graphic>
          </wp:inline>
        </w:drawing>
      </w:r>
      <w:r>
        <w:rPr>
          <w:rFonts w:ascii="Quicksand" w:eastAsia="Quicksand" w:hAnsi="Quicksand" w:cs="Quicksand"/>
          <w:sz w:val="18"/>
          <w:szCs w:val="18"/>
        </w:rPr>
        <w:t xml:space="preserve"> </w:t>
      </w:r>
    </w:p>
    <w:p w14:paraId="0000026C" w14:textId="77777777" w:rsidR="00053842" w:rsidRDefault="00CC2250">
      <w:pPr>
        <w:spacing w:after="160" w:line="259" w:lineRule="auto"/>
        <w:jc w:val="center"/>
        <w:rPr>
          <w:rFonts w:ascii="Quicksand" w:eastAsia="Quicksand" w:hAnsi="Quicksand" w:cs="Quicksand"/>
        </w:rPr>
      </w:pPr>
      <w:r>
        <w:rPr>
          <w:rFonts w:ascii="Quicksand" w:eastAsia="Quicksand" w:hAnsi="Quicksand" w:cs="Quicksand"/>
          <w:sz w:val="18"/>
          <w:szCs w:val="18"/>
        </w:rPr>
        <w:t>Fuente: Elaboración propia. Censo 2017-2018, Sinergias</w:t>
      </w:r>
    </w:p>
    <w:p w14:paraId="0000026D" w14:textId="77777777" w:rsidR="00053842" w:rsidRDefault="00CC2250">
      <w:pPr>
        <w:spacing w:before="240" w:after="160"/>
        <w:jc w:val="both"/>
        <w:rPr>
          <w:rFonts w:ascii="Quicksand" w:eastAsia="Quicksand" w:hAnsi="Quicksand" w:cs="Quicksand"/>
        </w:rPr>
      </w:pPr>
      <w:bookmarkStart w:id="4" w:name="_4i7ojhp" w:colFirst="0" w:colLast="0"/>
      <w:bookmarkEnd w:id="4"/>
      <w:r>
        <w:rPr>
          <w:rFonts w:ascii="Quicksand" w:eastAsia="Quicksand" w:hAnsi="Quicksand" w:cs="Quicksand"/>
        </w:rPr>
        <w:t>La pirámide poblacional de la población censada en las 18 comunidades es de tipo expansiva dado que más de la cuarta parte de su población (26,3%) tiene menos de 10 años y solo el 5,6% se encuentra por encima de los 65 años. En contraste, la pirámide nacio</w:t>
      </w:r>
      <w:r>
        <w:rPr>
          <w:rFonts w:ascii="Quicksand" w:eastAsia="Quicksand" w:hAnsi="Quicksand" w:cs="Quicksand"/>
        </w:rPr>
        <w:t xml:space="preserve">nal es regresiva, es decir que la mayoría de la población (54,4%) se encuentra en las edades medias (14 a 45 años), el 17,3% está por debajo de los 9 años y el 8% por encima de los 65. </w:t>
      </w:r>
    </w:p>
    <w:p w14:paraId="0000026E" w14:textId="77777777" w:rsidR="00053842" w:rsidRDefault="00CC2250">
      <w:pPr>
        <w:spacing w:after="160"/>
        <w:jc w:val="both"/>
        <w:rPr>
          <w:rFonts w:ascii="Quicksand" w:eastAsia="Quicksand" w:hAnsi="Quicksand" w:cs="Quicksand"/>
        </w:rPr>
      </w:pPr>
      <w:r>
        <w:rPr>
          <w:rFonts w:ascii="Quicksand" w:eastAsia="Quicksand" w:hAnsi="Quicksand" w:cs="Quicksand"/>
        </w:rPr>
        <w:t>Ahora bien, las estadísticas DANE evidencian que la tasa de crecimient</w:t>
      </w:r>
      <w:r>
        <w:rPr>
          <w:rFonts w:ascii="Quicksand" w:eastAsia="Quicksand" w:hAnsi="Quicksand" w:cs="Quicksand"/>
        </w:rPr>
        <w:t>o poblacional nacional ha decrecido (2005=12,45 exponencial; 2015=11,48 exponencial y proyectada 2020=10,94 exponencial) a expensas de la disminución de las tasas de fecundidad y natalidad. Es así como en el año 2005 (último censo reportado por el DANE), l</w:t>
      </w:r>
      <w:r>
        <w:rPr>
          <w:rFonts w:ascii="Quicksand" w:eastAsia="Quicksand" w:hAnsi="Quicksand" w:cs="Quicksand"/>
        </w:rPr>
        <w:t xml:space="preserve">a Tasa de Fecundidad General (TFG) estaba en 81,4 por mil mujeres en edad fértil, en el año 2015 disminuyó a 71,5 por mil mujeres en edad fértil y se proyecta que en el 2020 llegue a 69,6 por mil. De la misma forma la tasa bruta de natalidad ha descendido </w:t>
      </w:r>
      <w:r>
        <w:rPr>
          <w:rFonts w:ascii="Quicksand" w:eastAsia="Quicksand" w:hAnsi="Quicksand" w:cs="Quicksand"/>
        </w:rPr>
        <w:t>de 21,7 por 1000 (2005) a 18,88 por mil habitantes (2015). Sumado a lo anterior, la esperanza de vida al nacer en hombres se incrementó de 69 años (2000 – 2005) a 73,1 (2015 – 2020) y en mujeres de 77,1 a 79,3 años en los periodos mencionados. (Tabla 10)</w:t>
      </w:r>
    </w:p>
    <w:p w14:paraId="0000026F" w14:textId="77777777" w:rsidR="00053842" w:rsidRDefault="00CC2250">
      <w:pPr>
        <w:spacing w:after="160"/>
        <w:jc w:val="both"/>
        <w:rPr>
          <w:rFonts w:ascii="Quicksand" w:eastAsia="Quicksand" w:hAnsi="Quicksand" w:cs="Quicksand"/>
        </w:rPr>
      </w:pPr>
      <w:r>
        <w:rPr>
          <w:rFonts w:ascii="Quicksand" w:eastAsia="Quicksand" w:hAnsi="Quicksand" w:cs="Quicksand"/>
        </w:rPr>
        <w:t>S</w:t>
      </w:r>
      <w:r>
        <w:rPr>
          <w:rFonts w:ascii="Quicksand" w:eastAsia="Quicksand" w:hAnsi="Quicksand" w:cs="Quicksand"/>
        </w:rPr>
        <w:t>ería deseable realizar el análisis comparativo Colombia – Vaupés de las tasas mencionadas en el anterior párrafo, pero desafortunadamente, éstas no han sido calculadas por el DANE en forma individual, ya que se engloban en el denominado Grupo Amazonía 1, q</w:t>
      </w:r>
      <w:r>
        <w:rPr>
          <w:rFonts w:ascii="Quicksand" w:eastAsia="Quicksand" w:hAnsi="Quicksand" w:cs="Quicksand"/>
        </w:rPr>
        <w:t>ue comprende los departamentos de Amazonas, Guainía, Guaviare, Vaupés y Vichada. Dicho esto, se encuentra que las tasas de crecimiento poblacional para el grupo Amazonía 1, han disminuido entre el año 2005 (18,4 exponencial) y la proyectada para el 2020 (1</w:t>
      </w:r>
      <w:r>
        <w:rPr>
          <w:rFonts w:ascii="Quicksand" w:eastAsia="Quicksand" w:hAnsi="Quicksand" w:cs="Quicksand"/>
        </w:rPr>
        <w:t>5,2 exponencial).</w:t>
      </w:r>
    </w:p>
    <w:p w14:paraId="00000270" w14:textId="77777777" w:rsidR="00053842" w:rsidRDefault="00CC2250">
      <w:pPr>
        <w:keepNext/>
        <w:jc w:val="center"/>
        <w:rPr>
          <w:rFonts w:ascii="Quicksand" w:eastAsia="Quicksand" w:hAnsi="Quicksand" w:cs="Quicksand"/>
          <w:color w:val="7F7F7F"/>
          <w:sz w:val="20"/>
          <w:szCs w:val="20"/>
        </w:rPr>
      </w:pPr>
      <w:r>
        <w:rPr>
          <w:rFonts w:ascii="Quicksand" w:eastAsia="Quicksand" w:hAnsi="Quicksand" w:cs="Quicksand"/>
          <w:color w:val="7F7F7F"/>
          <w:sz w:val="20"/>
          <w:szCs w:val="20"/>
        </w:rPr>
        <w:lastRenderedPageBreak/>
        <w:t>Tabla 10 Tasas de crecimiento poblacional DANE para Colombia y Vaupés 1985 -2020</w:t>
      </w:r>
    </w:p>
    <w:p w14:paraId="00000271" w14:textId="77777777" w:rsidR="00053842" w:rsidRDefault="00CC2250">
      <w:pPr>
        <w:spacing w:line="259" w:lineRule="auto"/>
        <w:jc w:val="center"/>
        <w:rPr>
          <w:rFonts w:ascii="Quicksand" w:eastAsia="Quicksand" w:hAnsi="Quicksand" w:cs="Quicksand"/>
        </w:rPr>
      </w:pPr>
      <w:r>
        <w:rPr>
          <w:rFonts w:ascii="Quicksand" w:eastAsia="Quicksand" w:hAnsi="Quicksand" w:cs="Quicksand"/>
          <w:noProof/>
        </w:rPr>
        <w:drawing>
          <wp:inline distT="0" distB="0" distL="0" distR="0">
            <wp:extent cx="4031747" cy="2632166"/>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4031747" cy="2632166"/>
                    </a:xfrm>
                    <a:prstGeom prst="rect">
                      <a:avLst/>
                    </a:prstGeom>
                    <a:ln/>
                  </pic:spPr>
                </pic:pic>
              </a:graphicData>
            </a:graphic>
          </wp:inline>
        </w:drawing>
      </w:r>
    </w:p>
    <w:p w14:paraId="00000272" w14:textId="77777777" w:rsidR="00053842" w:rsidRDefault="00CC2250">
      <w:pPr>
        <w:spacing w:after="160" w:line="259" w:lineRule="auto"/>
        <w:jc w:val="center"/>
        <w:rPr>
          <w:rFonts w:ascii="Quicksand" w:eastAsia="Quicksand" w:hAnsi="Quicksand" w:cs="Quicksand"/>
          <w:sz w:val="18"/>
          <w:szCs w:val="18"/>
        </w:rPr>
      </w:pPr>
      <w:r>
        <w:rPr>
          <w:rFonts w:ascii="Quicksand" w:eastAsia="Quicksand" w:hAnsi="Quicksand" w:cs="Quicksand"/>
          <w:sz w:val="18"/>
          <w:szCs w:val="18"/>
        </w:rPr>
        <w:t>Fuente: DANE: Indicadores Demográficos según Departamento 1985-2020</w:t>
      </w:r>
    </w:p>
    <w:p w14:paraId="00000273" w14:textId="77777777" w:rsidR="00053842" w:rsidRDefault="00053842">
      <w:pPr>
        <w:spacing w:line="259" w:lineRule="auto"/>
        <w:jc w:val="both"/>
        <w:rPr>
          <w:rFonts w:ascii="Quicksand" w:eastAsia="Quicksand" w:hAnsi="Quicksand" w:cs="Quicksand"/>
        </w:rPr>
      </w:pPr>
    </w:p>
    <w:p w14:paraId="00000274" w14:textId="77777777" w:rsidR="00053842" w:rsidRDefault="00CC2250">
      <w:pPr>
        <w:spacing w:after="160"/>
        <w:jc w:val="both"/>
        <w:rPr>
          <w:rFonts w:ascii="Quicksand" w:eastAsia="Quicksand" w:hAnsi="Quicksand" w:cs="Quicksand"/>
        </w:rPr>
      </w:pPr>
      <w:r>
        <w:rPr>
          <w:rFonts w:ascii="Quicksand" w:eastAsia="Quicksand" w:hAnsi="Quicksand" w:cs="Quicksand"/>
        </w:rPr>
        <w:t>La tasa de fecundidad general en estos departamentos amazónicos ha disminuido de 147,3</w:t>
      </w:r>
      <w:r>
        <w:rPr>
          <w:rFonts w:ascii="Quicksand" w:eastAsia="Quicksand" w:hAnsi="Quicksand" w:cs="Quicksand"/>
        </w:rPr>
        <w:t xml:space="preserve"> por mil (2005) a 124,4 por mil (2015) y se espera que en año 2020 esté en 117,7 por mil. La tasa de natalidad bruta también ha disminuido en el grupo Amazonía 1 de 32,5 por mil en el 2005 a 29,2 por mil en el 2015, aunque dicha disminución no ha sido tan </w:t>
      </w:r>
      <w:r>
        <w:rPr>
          <w:rFonts w:ascii="Quicksand" w:eastAsia="Quicksand" w:hAnsi="Quicksand" w:cs="Quicksand"/>
        </w:rPr>
        <w:t xml:space="preserve">marcada como la nacional. Entre 2005 y 2015 (proyección 2015 – 2020) la esperanza de vida al nacer en el grupo Amazonía 1 ha aumentado de 64 años a 66,3 en hombres y de 75,4 a 76,2 en mujeres. </w:t>
      </w:r>
    </w:p>
    <w:p w14:paraId="00000275" w14:textId="77777777" w:rsidR="00053842" w:rsidRDefault="00CC2250">
      <w:pPr>
        <w:keepNext/>
        <w:jc w:val="center"/>
        <w:rPr>
          <w:rFonts w:ascii="Quicksand" w:eastAsia="Quicksand" w:hAnsi="Quicksand" w:cs="Quicksand"/>
          <w:color w:val="7F7F7F"/>
          <w:sz w:val="20"/>
          <w:szCs w:val="20"/>
        </w:rPr>
      </w:pPr>
      <w:r>
        <w:rPr>
          <w:rFonts w:ascii="Quicksand" w:eastAsia="Quicksand" w:hAnsi="Quicksand" w:cs="Quicksand"/>
          <w:color w:val="7F7F7F"/>
          <w:sz w:val="20"/>
          <w:szCs w:val="20"/>
        </w:rPr>
        <w:t>Gráfico 14: Pirámides poblacionales nacional y comunidades zon</w:t>
      </w:r>
      <w:r>
        <w:rPr>
          <w:rFonts w:ascii="Quicksand" w:eastAsia="Quicksand" w:hAnsi="Quicksand" w:cs="Quicksand"/>
          <w:color w:val="7F7F7F"/>
          <w:sz w:val="20"/>
          <w:szCs w:val="20"/>
        </w:rPr>
        <w:t xml:space="preserve">a suburbana de Mitú, Vaupés, abril 2018. </w:t>
      </w:r>
    </w:p>
    <w:p w14:paraId="00000276" w14:textId="77777777" w:rsidR="00053842" w:rsidRDefault="00CC2250">
      <w:pPr>
        <w:spacing w:after="160" w:line="259" w:lineRule="auto"/>
        <w:jc w:val="center"/>
        <w:rPr>
          <w:rFonts w:ascii="Quicksand" w:eastAsia="Quicksand" w:hAnsi="Quicksand" w:cs="Quicksand"/>
          <w:color w:val="7F7F7F"/>
          <w:sz w:val="18"/>
          <w:szCs w:val="18"/>
        </w:rPr>
      </w:pPr>
      <w:r>
        <w:rPr>
          <w:rFonts w:ascii="Quicksand" w:eastAsia="Quicksand" w:hAnsi="Quicksand" w:cs="Quicksand"/>
          <w:noProof/>
        </w:rPr>
        <w:drawing>
          <wp:inline distT="0" distB="0" distL="0" distR="0">
            <wp:extent cx="5731200" cy="2717800"/>
            <wp:effectExtent l="0" t="0" r="0"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5731200" cy="2717800"/>
                    </a:xfrm>
                    <a:prstGeom prst="rect">
                      <a:avLst/>
                    </a:prstGeom>
                    <a:ln/>
                  </pic:spPr>
                </pic:pic>
              </a:graphicData>
            </a:graphic>
          </wp:inline>
        </w:drawing>
      </w:r>
      <w:r>
        <w:rPr>
          <w:rFonts w:ascii="Quicksand" w:eastAsia="Quicksand" w:hAnsi="Quicksand" w:cs="Quicksand"/>
          <w:color w:val="7F7F7F"/>
          <w:sz w:val="18"/>
          <w:szCs w:val="18"/>
        </w:rPr>
        <w:t>Fuente: Colombia Proyecciones poblacionales DANE 2018. Vaupés Censo 2017-2018 SINERGIAS</w:t>
      </w:r>
    </w:p>
    <w:p w14:paraId="00000277" w14:textId="77777777" w:rsidR="00053842" w:rsidRDefault="00CC2250">
      <w:pPr>
        <w:spacing w:after="160"/>
        <w:jc w:val="both"/>
        <w:rPr>
          <w:rFonts w:ascii="Quicksand" w:eastAsia="Quicksand" w:hAnsi="Quicksand" w:cs="Quicksand"/>
        </w:rPr>
      </w:pPr>
      <w:r>
        <w:rPr>
          <w:rFonts w:ascii="Quicksand" w:eastAsia="Quicksand" w:hAnsi="Quicksand" w:cs="Quicksand"/>
        </w:rPr>
        <w:t>Pese a que no se encuentran disponibles los indicadores individuales por departamento, si se puede inferir que el grupo Amazo</w:t>
      </w:r>
      <w:r>
        <w:rPr>
          <w:rFonts w:ascii="Quicksand" w:eastAsia="Quicksand" w:hAnsi="Quicksand" w:cs="Quicksand"/>
        </w:rPr>
        <w:t xml:space="preserve">nía 1, conserva la tendencia del nivel nacional de disminución de la natalidad y fecundidad, aunque siguen siendo altos si se comparan con los de Colombia. </w:t>
      </w:r>
    </w:p>
    <w:p w14:paraId="00000278" w14:textId="77777777" w:rsidR="00053842" w:rsidRDefault="00CC2250">
      <w:pPr>
        <w:spacing w:after="160"/>
        <w:jc w:val="both"/>
        <w:rPr>
          <w:rFonts w:ascii="Quicksand" w:eastAsia="Quicksand" w:hAnsi="Quicksand" w:cs="Quicksand"/>
        </w:rPr>
      </w:pPr>
      <w:r>
        <w:rPr>
          <w:rFonts w:ascii="Quicksand" w:eastAsia="Quicksand" w:hAnsi="Quicksand" w:cs="Quicksand"/>
        </w:rPr>
        <w:lastRenderedPageBreak/>
        <w:t>Los índices demográficos del año 2018 en Colombia muestran que la población proyectada es de 49.834.240 habitantes de los cuales el 49.3% (24.605.796) son hombres y el 50,6 (25.228.444) son mujeres. La relación hombre: mujer indica que por cada 97,5 hombre</w:t>
      </w:r>
      <w:r>
        <w:rPr>
          <w:rFonts w:ascii="Quicksand" w:eastAsia="Quicksand" w:hAnsi="Quicksand" w:cs="Quicksand"/>
        </w:rPr>
        <w:t>s hay 100 mujeres. En contraposición, la población censada en la zona suburbana de Mitú cuenta 52.4% de personas de sexo masculino (1022) y 47.6% (930) de femenino; la relación hombre: mujer es de 109.89 hombres por cada 100 mujeres. En el gráfico 3 se apr</w:t>
      </w:r>
      <w:r>
        <w:rPr>
          <w:rFonts w:ascii="Quicksand" w:eastAsia="Quicksand" w:hAnsi="Quicksand" w:cs="Quicksand"/>
        </w:rPr>
        <w:t>ecia una disminución importante de mujeres entre los 25 y 39 años, situación que se debe estudiar —al igual que su impacto—, se puede explicar parcialmente por fenómenos migratorios de este grupo poblacional.</w:t>
      </w:r>
    </w:p>
    <w:p w14:paraId="00000279" w14:textId="77777777" w:rsidR="00053842" w:rsidRDefault="00CC2250">
      <w:pPr>
        <w:spacing w:after="160"/>
        <w:jc w:val="both"/>
        <w:rPr>
          <w:rFonts w:ascii="Quicksand" w:eastAsia="Quicksand" w:hAnsi="Quicksand" w:cs="Quicksand"/>
        </w:rPr>
      </w:pPr>
      <w:r>
        <w:rPr>
          <w:rFonts w:ascii="Quicksand" w:eastAsia="Quicksand" w:hAnsi="Quicksand" w:cs="Quicksand"/>
        </w:rPr>
        <w:t>Para el año 2018 en Colombia se proyecta que po</w:t>
      </w:r>
      <w:r>
        <w:rPr>
          <w:rFonts w:ascii="Quicksand" w:eastAsia="Quicksand" w:hAnsi="Quicksand" w:cs="Quicksand"/>
        </w:rPr>
        <w:t>r cada 100 mujeres en edad fértil (15 a 49 años) hay 34 niños entre 0 y 4 años, mientras que en la zona suburbana este número asciende a 62. En el país la población menor de 15 años corresponde al 25,9%, 13.1 puntos porcentuales menos que esta población (3</w:t>
      </w:r>
      <w:r>
        <w:rPr>
          <w:rFonts w:ascii="Quicksand" w:eastAsia="Quicksand" w:hAnsi="Quicksand" w:cs="Quicksand"/>
        </w:rPr>
        <w:t xml:space="preserve">9%). La población mayor de 65 años representa el 8.1% de toda la población colombiana y el 6% de la población censada del Vaupés. </w:t>
      </w:r>
    </w:p>
    <w:p w14:paraId="0000027A" w14:textId="77777777" w:rsidR="00053842" w:rsidRDefault="00CC2250">
      <w:pPr>
        <w:spacing w:after="160"/>
        <w:jc w:val="both"/>
        <w:rPr>
          <w:rFonts w:ascii="Quicksand" w:eastAsia="Quicksand" w:hAnsi="Quicksand" w:cs="Quicksand"/>
        </w:rPr>
      </w:pPr>
      <w:r>
        <w:rPr>
          <w:rFonts w:ascii="Quicksand" w:eastAsia="Quicksand" w:hAnsi="Quicksand" w:cs="Quicksand"/>
        </w:rPr>
        <w:t xml:space="preserve">El índice de dependencia demográfica nacional para el 2018 muestra que de cada 100 personas entre 15 y 64 años dependen 51.4 </w:t>
      </w:r>
      <w:r>
        <w:rPr>
          <w:rFonts w:ascii="Quicksand" w:eastAsia="Quicksand" w:hAnsi="Quicksand" w:cs="Quicksand"/>
        </w:rPr>
        <w:t>personas menores de 15 años o mayores de 65 años. En esta población del Vaupés la cifra asciende a 79.08. De forma similar, el índice de dependencia infantil evidencia que a nivel nacional hay 39.2 menores de 15 años por cada 100 personas entre 15 y 64 año</w:t>
      </w:r>
      <w:r>
        <w:rPr>
          <w:rFonts w:ascii="Quicksand" w:eastAsia="Quicksand" w:hAnsi="Quicksand" w:cs="Quicksand"/>
        </w:rPr>
        <w:t xml:space="preserve">s y el de esta población es de 68.99. En contraste, en Colombia hay 12,2 personas mayores de 65 años por cada 100 personas entre 15 y 64 años, mientras que en estas comunidades del Vaupés hay 10,1. </w:t>
      </w:r>
    </w:p>
    <w:p w14:paraId="0000027B" w14:textId="77777777" w:rsidR="00053842" w:rsidRDefault="00CC2250">
      <w:pPr>
        <w:keepNext/>
        <w:jc w:val="center"/>
        <w:rPr>
          <w:rFonts w:ascii="Quicksand" w:eastAsia="Quicksand" w:hAnsi="Quicksand" w:cs="Quicksand"/>
          <w:i/>
          <w:color w:val="7F7F7F"/>
          <w:sz w:val="20"/>
          <w:szCs w:val="20"/>
        </w:rPr>
      </w:pPr>
      <w:r>
        <w:rPr>
          <w:rFonts w:ascii="Quicksand" w:eastAsia="Quicksand" w:hAnsi="Quicksand" w:cs="Quicksand"/>
          <w:color w:val="7F7F7F"/>
          <w:sz w:val="20"/>
          <w:szCs w:val="20"/>
        </w:rPr>
        <w:t>Tabla 11 Indicadores Demográficos Nacionales y del Vaupés</w:t>
      </w:r>
    </w:p>
    <w:p w14:paraId="0000027C" w14:textId="77777777" w:rsidR="00053842" w:rsidRDefault="00CC2250">
      <w:pPr>
        <w:spacing w:line="259" w:lineRule="auto"/>
        <w:jc w:val="center"/>
        <w:rPr>
          <w:rFonts w:ascii="Quicksand" w:eastAsia="Quicksand" w:hAnsi="Quicksand" w:cs="Quicksand"/>
        </w:rPr>
      </w:pPr>
      <w:r>
        <w:rPr>
          <w:rFonts w:ascii="Quicksand" w:eastAsia="Quicksand" w:hAnsi="Quicksand" w:cs="Quicksand"/>
          <w:noProof/>
        </w:rPr>
        <w:drawing>
          <wp:inline distT="0" distB="0" distL="0" distR="0">
            <wp:extent cx="3487420" cy="2702666"/>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3487420" cy="2702666"/>
                    </a:xfrm>
                    <a:prstGeom prst="rect">
                      <a:avLst/>
                    </a:prstGeom>
                    <a:ln/>
                  </pic:spPr>
                </pic:pic>
              </a:graphicData>
            </a:graphic>
          </wp:inline>
        </w:drawing>
      </w:r>
    </w:p>
    <w:p w14:paraId="0000027D" w14:textId="77777777" w:rsidR="00053842" w:rsidRDefault="00CC2250">
      <w:pPr>
        <w:spacing w:line="259" w:lineRule="auto"/>
        <w:jc w:val="center"/>
        <w:rPr>
          <w:rFonts w:ascii="Quicksand" w:eastAsia="Quicksand" w:hAnsi="Quicksand" w:cs="Quicksand"/>
          <w:sz w:val="20"/>
          <w:szCs w:val="20"/>
        </w:rPr>
      </w:pPr>
      <w:r>
        <w:rPr>
          <w:rFonts w:ascii="Quicksand" w:eastAsia="Quicksand" w:hAnsi="Quicksand" w:cs="Quicksand"/>
          <w:sz w:val="20"/>
          <w:szCs w:val="20"/>
        </w:rPr>
        <w:t>Fuente: Proyecciones poblacionales DANE 1985 – 2020</w:t>
      </w:r>
    </w:p>
    <w:p w14:paraId="0000027E" w14:textId="77777777" w:rsidR="00053842" w:rsidRDefault="00053842">
      <w:pPr>
        <w:spacing w:line="259" w:lineRule="auto"/>
        <w:rPr>
          <w:rFonts w:ascii="Quicksand" w:eastAsia="Quicksand" w:hAnsi="Quicksand" w:cs="Quicksand"/>
        </w:rPr>
      </w:pPr>
    </w:p>
    <w:p w14:paraId="0000027F" w14:textId="77777777" w:rsidR="00053842" w:rsidRDefault="00CC2250">
      <w:pPr>
        <w:spacing w:after="160"/>
        <w:jc w:val="both"/>
        <w:rPr>
          <w:rFonts w:ascii="Quicksand" w:eastAsia="Quicksand" w:hAnsi="Quicksand" w:cs="Quicksand"/>
        </w:rPr>
      </w:pPr>
      <w:r>
        <w:rPr>
          <w:rFonts w:ascii="Quicksand" w:eastAsia="Quicksand" w:hAnsi="Quicksand" w:cs="Quicksand"/>
        </w:rPr>
        <w:t>El índice de Fritz, que representa el porcentaje de población por debajo de los 20 años con respecto al de personas que están entre los 30 y los 90, corrobora que el Vaupés posee una población más jov</w:t>
      </w:r>
      <w:r>
        <w:rPr>
          <w:rFonts w:ascii="Quicksand" w:eastAsia="Quicksand" w:hAnsi="Quicksand" w:cs="Quicksand"/>
        </w:rPr>
        <w:t xml:space="preserve">en si se compara con la nación. Si el índice se encuentra por encima de 160 se considera que pertenece a una población joven y </w:t>
      </w:r>
      <w:r>
        <w:rPr>
          <w:rFonts w:ascii="Quicksand" w:eastAsia="Quicksand" w:hAnsi="Quicksand" w:cs="Quicksand"/>
        </w:rPr>
        <w:lastRenderedPageBreak/>
        <w:t>por debajo de 60 se considera una población envejecida. Es así como el índice nacional muestra que Colombia está en transición de</w:t>
      </w:r>
      <w:r>
        <w:rPr>
          <w:rFonts w:ascii="Quicksand" w:eastAsia="Quicksand" w:hAnsi="Quicksand" w:cs="Quicksand"/>
        </w:rPr>
        <w:t xml:space="preserve"> población adulta a envejecida dado que su índice es de 132,3 y el Vaupés posee una población joven con un índice de 232,9. </w:t>
      </w:r>
    </w:p>
    <w:p w14:paraId="00000280" w14:textId="77777777" w:rsidR="00053842" w:rsidRDefault="00CC2250">
      <w:pPr>
        <w:spacing w:after="160"/>
        <w:jc w:val="both"/>
        <w:rPr>
          <w:rFonts w:ascii="Quicksand" w:eastAsia="Quicksand" w:hAnsi="Quicksand" w:cs="Quicksand"/>
        </w:rPr>
      </w:pPr>
      <w:r>
        <w:rPr>
          <w:rFonts w:ascii="Quicksand" w:eastAsia="Quicksand" w:hAnsi="Quicksand" w:cs="Quicksand"/>
        </w:rPr>
        <w:t>Los datos con relación a lo datos antropométricos de la población mayor de cinco años fueron descritos en los informes de avance an</w:t>
      </w:r>
      <w:r>
        <w:rPr>
          <w:rFonts w:ascii="Quicksand" w:eastAsia="Quicksand" w:hAnsi="Quicksand" w:cs="Quicksand"/>
        </w:rPr>
        <w:t xml:space="preserve">teriores. Allí se destaca el aumento de la proporción de la población con exceso de peso y en los adultos, adicionalmente, obesidad central; lo que constituye un factor de riesgo para las enfermedades crónicas no transmisibles. </w:t>
      </w:r>
    </w:p>
    <w:p w14:paraId="00000281" w14:textId="77777777" w:rsidR="00053842" w:rsidRDefault="00053842">
      <w:pPr>
        <w:spacing w:line="240" w:lineRule="auto"/>
        <w:jc w:val="both"/>
        <w:rPr>
          <w:rFonts w:ascii="Quicksand" w:eastAsia="Quicksand" w:hAnsi="Quicksand" w:cs="Quicksand"/>
        </w:rPr>
      </w:pPr>
    </w:p>
    <w:p w14:paraId="00000282" w14:textId="77777777" w:rsidR="00053842" w:rsidRDefault="00CC2250">
      <w:pPr>
        <w:pStyle w:val="Ttulo3"/>
        <w:numPr>
          <w:ilvl w:val="1"/>
          <w:numId w:val="1"/>
        </w:numPr>
        <w:spacing w:before="40" w:after="0" w:line="259" w:lineRule="auto"/>
        <w:rPr>
          <w:rFonts w:ascii="Quicksand" w:eastAsia="Quicksand" w:hAnsi="Quicksand" w:cs="Quicksand"/>
          <w:color w:val="843C0B"/>
        </w:rPr>
      </w:pPr>
      <w:bookmarkStart w:id="5" w:name="_2xcytpi" w:colFirst="0" w:colLast="0"/>
      <w:bookmarkEnd w:id="5"/>
      <w:r>
        <w:rPr>
          <w:rFonts w:ascii="Quicksand" w:eastAsia="Quicksand" w:hAnsi="Quicksand" w:cs="Quicksand"/>
          <w:color w:val="843C0B"/>
        </w:rPr>
        <w:t>Caracterización comunitari</w:t>
      </w:r>
      <w:r>
        <w:rPr>
          <w:rFonts w:ascii="Quicksand" w:eastAsia="Quicksand" w:hAnsi="Quicksand" w:cs="Quicksand"/>
          <w:color w:val="843C0B"/>
        </w:rPr>
        <w:t>a sociocultural</w:t>
      </w:r>
    </w:p>
    <w:p w14:paraId="00000283" w14:textId="77777777" w:rsidR="00053842" w:rsidRDefault="00CC2250">
      <w:pPr>
        <w:spacing w:before="240"/>
        <w:jc w:val="both"/>
        <w:rPr>
          <w:rFonts w:ascii="Quicksand" w:eastAsia="Quicksand" w:hAnsi="Quicksand" w:cs="Quicksand"/>
        </w:rPr>
      </w:pPr>
      <w:r>
        <w:rPr>
          <w:rFonts w:ascii="Quicksand" w:eastAsia="Quicksand" w:hAnsi="Quicksand" w:cs="Quicksand"/>
        </w:rPr>
        <w:t>Los datos que se acopian bajo el formato de caracterización comunitaria sociocultural contienen información sobre las formas de organización comunitaria, recursos internos y externos, acceso a la comunidad, proyectos en curso, nivel de part</w:t>
      </w:r>
      <w:r>
        <w:rPr>
          <w:rFonts w:ascii="Quicksand" w:eastAsia="Quicksand" w:hAnsi="Quicksand" w:cs="Quicksand"/>
        </w:rPr>
        <w:t xml:space="preserve">icipación de la comunidad, soberanía alimentaria, prácticas saludables y morbimortalidad sentida, según la percepción y vivencia de cada comunidad. </w:t>
      </w:r>
    </w:p>
    <w:p w14:paraId="00000284" w14:textId="77777777" w:rsidR="00053842" w:rsidRDefault="00053842">
      <w:pPr>
        <w:spacing w:before="240"/>
        <w:jc w:val="both"/>
        <w:rPr>
          <w:rFonts w:ascii="Quicksand" w:eastAsia="Quicksand" w:hAnsi="Quicksand" w:cs="Quicksand"/>
          <w:i/>
          <w:color w:val="ED7D31"/>
        </w:rPr>
      </w:pPr>
    </w:p>
    <w:p w14:paraId="00000285" w14:textId="77777777" w:rsidR="00053842" w:rsidRDefault="00053842">
      <w:pPr>
        <w:spacing w:before="240"/>
        <w:jc w:val="both"/>
        <w:rPr>
          <w:rFonts w:ascii="Quicksand" w:eastAsia="Quicksand" w:hAnsi="Quicksand" w:cs="Quicksand"/>
          <w:i/>
          <w:color w:val="ED7D31"/>
        </w:rPr>
      </w:pPr>
    </w:p>
    <w:p w14:paraId="00000286" w14:textId="77777777" w:rsidR="00053842" w:rsidRDefault="00CC2250">
      <w:pPr>
        <w:spacing w:before="240"/>
        <w:jc w:val="both"/>
        <w:rPr>
          <w:rFonts w:ascii="Quicksand" w:eastAsia="Quicksand" w:hAnsi="Quicksand" w:cs="Quicksand"/>
          <w:i/>
          <w:color w:val="ED7D31"/>
        </w:rPr>
      </w:pPr>
      <w:r>
        <w:rPr>
          <w:rFonts w:ascii="Quicksand" w:eastAsia="Quicksand" w:hAnsi="Quicksand" w:cs="Quicksand"/>
          <w:i/>
          <w:color w:val="ED7D31"/>
        </w:rPr>
        <w:t>Organización comunitaria</w:t>
      </w:r>
    </w:p>
    <w:p w14:paraId="00000287" w14:textId="77777777" w:rsidR="00053842" w:rsidRDefault="00CC2250">
      <w:pPr>
        <w:spacing w:before="240"/>
        <w:jc w:val="both"/>
        <w:rPr>
          <w:rFonts w:ascii="Quicksand" w:eastAsia="Quicksand" w:hAnsi="Quicksand" w:cs="Quicksand"/>
        </w:rPr>
      </w:pPr>
      <w:r>
        <w:rPr>
          <w:rFonts w:ascii="Quicksand" w:eastAsia="Quicksand" w:hAnsi="Quicksand" w:cs="Quicksand"/>
        </w:rPr>
        <w:t xml:space="preserve">Actualmente, cada comunidad pertenece a una organización indígena y a través de </w:t>
      </w:r>
      <w:r>
        <w:rPr>
          <w:rFonts w:ascii="Quicksand" w:eastAsia="Quicksand" w:hAnsi="Quicksand" w:cs="Quicksand"/>
        </w:rPr>
        <w:t xml:space="preserve">esta recibe recursos anualmente provenientes del Sistema General de Participaciones. Las comunidades del área de cobertura del proyecto pertenecen a 4 organizaciones indígenas conformadas, como se representa en el gráfico 19. </w:t>
      </w:r>
    </w:p>
    <w:p w14:paraId="00000288" w14:textId="77777777" w:rsidR="00053842" w:rsidRDefault="00CC2250">
      <w:pPr>
        <w:spacing w:before="240"/>
        <w:jc w:val="center"/>
        <w:rPr>
          <w:rFonts w:ascii="Quicksand" w:eastAsia="Quicksand" w:hAnsi="Quicksand" w:cs="Quicksand"/>
          <w:color w:val="7F7F7F"/>
          <w:sz w:val="20"/>
          <w:szCs w:val="20"/>
        </w:rPr>
      </w:pPr>
      <w:r>
        <w:rPr>
          <w:rFonts w:ascii="Quicksand" w:eastAsia="Quicksand" w:hAnsi="Quicksand" w:cs="Quicksand"/>
          <w:color w:val="7F7F7F"/>
          <w:sz w:val="20"/>
          <w:szCs w:val="20"/>
        </w:rPr>
        <w:t>Gráfico 19: Organizaciones in</w:t>
      </w:r>
      <w:r>
        <w:rPr>
          <w:rFonts w:ascii="Quicksand" w:eastAsia="Quicksand" w:hAnsi="Quicksand" w:cs="Quicksand"/>
          <w:color w:val="7F7F7F"/>
          <w:sz w:val="20"/>
          <w:szCs w:val="20"/>
        </w:rPr>
        <w:t>dígenas de la zona suburbana de Mitú, Vaupés</w:t>
      </w:r>
    </w:p>
    <w:p w14:paraId="00000289" w14:textId="77777777" w:rsidR="00053842" w:rsidRDefault="00CC2250">
      <w:pPr>
        <w:spacing w:before="240"/>
        <w:jc w:val="center"/>
        <w:rPr>
          <w:rFonts w:ascii="Quicksand" w:eastAsia="Quicksand" w:hAnsi="Quicksand" w:cs="Quicksand"/>
        </w:rPr>
      </w:pPr>
      <w:r>
        <w:rPr>
          <w:rFonts w:ascii="Quicksand" w:eastAsia="Quicksand" w:hAnsi="Quicksand" w:cs="Quicksand"/>
          <w:noProof/>
        </w:rPr>
        <w:drawing>
          <wp:inline distT="0" distB="0" distL="0" distR="0">
            <wp:extent cx="5457743" cy="1827544"/>
            <wp:effectExtent l="0" t="0" r="0" b="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5457743" cy="1827544"/>
                    </a:xfrm>
                    <a:prstGeom prst="rect">
                      <a:avLst/>
                    </a:prstGeom>
                    <a:ln/>
                  </pic:spPr>
                </pic:pic>
              </a:graphicData>
            </a:graphic>
          </wp:inline>
        </w:drawing>
      </w:r>
    </w:p>
    <w:p w14:paraId="0000028A" w14:textId="77777777" w:rsidR="00053842" w:rsidRDefault="00053842">
      <w:pPr>
        <w:spacing w:line="240" w:lineRule="auto"/>
        <w:jc w:val="both"/>
        <w:rPr>
          <w:rFonts w:ascii="Quicksand" w:eastAsia="Quicksand" w:hAnsi="Quicksand" w:cs="Quicksand"/>
        </w:rPr>
      </w:pPr>
    </w:p>
    <w:p w14:paraId="0000028B" w14:textId="77777777" w:rsidR="00053842" w:rsidRDefault="00CC2250">
      <w:pPr>
        <w:jc w:val="both"/>
        <w:rPr>
          <w:rFonts w:ascii="Quicksand" w:eastAsia="Quicksand" w:hAnsi="Quicksand" w:cs="Quicksand"/>
        </w:rPr>
      </w:pPr>
      <w:r>
        <w:rPr>
          <w:rFonts w:ascii="Quicksand" w:eastAsia="Quicksand" w:hAnsi="Quicksand" w:cs="Quicksand"/>
        </w:rPr>
        <w:t>Las comunidades se organizan administrativamente con un Capitán y su equipo de trabajo (vice capitán, fiscal, tesorero y secretario). El 94% de las capitanías son lideradas por hombres, una sola mujer fue ele</w:t>
      </w:r>
      <w:r>
        <w:rPr>
          <w:rFonts w:ascii="Quicksand" w:eastAsia="Quicksand" w:hAnsi="Quicksand" w:cs="Quicksand"/>
        </w:rPr>
        <w:t xml:space="preserve">gida como Capitana para esta vigencia. </w:t>
      </w:r>
    </w:p>
    <w:p w14:paraId="0000028C" w14:textId="77777777" w:rsidR="00053842" w:rsidRDefault="00CC2250">
      <w:pPr>
        <w:spacing w:before="240"/>
        <w:jc w:val="both"/>
        <w:rPr>
          <w:rFonts w:ascii="Quicksand" w:eastAsia="Quicksand" w:hAnsi="Quicksand" w:cs="Quicksand"/>
        </w:rPr>
      </w:pPr>
      <w:r>
        <w:rPr>
          <w:rFonts w:ascii="Quicksand" w:eastAsia="Quicksand" w:hAnsi="Quicksand" w:cs="Quicksand"/>
        </w:rPr>
        <w:lastRenderedPageBreak/>
        <w:t xml:space="preserve">La figura de Presidente de Junta de Acción comunal ha ido desapareciendo y solo el 28% (5) de las comunidades conservan esta figura, que paulatinamente ha sido remplazada por los diferentes comités (salud, deportes, </w:t>
      </w:r>
      <w:r>
        <w:rPr>
          <w:rFonts w:ascii="Quicksand" w:eastAsia="Quicksand" w:hAnsi="Quicksand" w:cs="Quicksand"/>
        </w:rPr>
        <w:t>mujer, educación, trabajo, medio ambiente, resolución de conflictos, infancia y adolescencia, cultura, obra y turismo) que se conforman como requisito para acceder a los recursos de Sistema general de transferencias. Al parecer, los comités más funcionales</w:t>
      </w:r>
      <w:r>
        <w:rPr>
          <w:rFonts w:ascii="Quicksand" w:eastAsia="Quicksand" w:hAnsi="Quicksand" w:cs="Quicksand"/>
        </w:rPr>
        <w:t>, según los entrevistados, son los de trabajo y deportes. Los de mayor representación en las comunidades son los de salud, deportes y mujer y los de menor representatividad son los de turismo, obra, medio ambiente y cultura (no se considera de prelación es</w:t>
      </w:r>
      <w:r>
        <w:rPr>
          <w:rFonts w:ascii="Quicksand" w:eastAsia="Quicksand" w:hAnsi="Quicksand" w:cs="Quicksand"/>
        </w:rPr>
        <w:t xml:space="preserve">te último aun cuando la pérdida de los usos y costumbres tradicionales ha sido una de las problemáticas priorizadas por la mayoría de las comunidades). </w:t>
      </w:r>
    </w:p>
    <w:p w14:paraId="0000028D" w14:textId="77777777" w:rsidR="00053842" w:rsidRDefault="00CC2250">
      <w:pPr>
        <w:spacing w:before="240"/>
        <w:jc w:val="both"/>
        <w:rPr>
          <w:rFonts w:ascii="Quicksand" w:eastAsia="Quicksand" w:hAnsi="Quicksand" w:cs="Quicksand"/>
        </w:rPr>
      </w:pPr>
      <w:r>
        <w:rPr>
          <w:rFonts w:ascii="Quicksand" w:eastAsia="Quicksand" w:hAnsi="Quicksand" w:cs="Quicksand"/>
        </w:rPr>
        <w:t>No existe un comité que apoye específicamente la juventud; no obstante, los adolescentes y jóvenes part</w:t>
      </w:r>
      <w:r>
        <w:rPr>
          <w:rFonts w:ascii="Quicksand" w:eastAsia="Quicksand" w:hAnsi="Quicksand" w:cs="Quicksand"/>
        </w:rPr>
        <w:t xml:space="preserve">icipan activamente en el comité de deportes y, por lo general, este es liderado todos los años por un joven. </w:t>
      </w:r>
    </w:p>
    <w:p w14:paraId="0000028E" w14:textId="77777777" w:rsidR="00053842" w:rsidRDefault="00CC2250">
      <w:pPr>
        <w:spacing w:before="240"/>
        <w:jc w:val="both"/>
        <w:rPr>
          <w:rFonts w:ascii="Quicksand" w:eastAsia="Quicksand" w:hAnsi="Quicksand" w:cs="Quicksand"/>
        </w:rPr>
      </w:pPr>
      <w:r>
        <w:rPr>
          <w:rFonts w:ascii="Quicksand" w:eastAsia="Quicksand" w:hAnsi="Quicksand" w:cs="Quicksand"/>
        </w:rPr>
        <w:t xml:space="preserve">Un comité de reciente formación es el de resolución de conflictos, el cual ha empezado a surgir como respuesta a las múltiples problemáticas sociales al interior de las comunidades. </w:t>
      </w:r>
    </w:p>
    <w:p w14:paraId="0000028F" w14:textId="77777777" w:rsidR="00053842" w:rsidRDefault="00CC2250">
      <w:pPr>
        <w:spacing w:before="240"/>
        <w:jc w:val="both"/>
        <w:rPr>
          <w:rFonts w:ascii="Quicksand" w:eastAsia="Quicksand" w:hAnsi="Quicksand" w:cs="Quicksand"/>
        </w:rPr>
      </w:pPr>
      <w:r>
        <w:rPr>
          <w:rFonts w:ascii="Quicksand" w:eastAsia="Quicksand" w:hAnsi="Quicksand" w:cs="Quicksand"/>
        </w:rPr>
        <w:t>Solo 7 comunidades cuentan con comité de Medio Ambiente. Al respecto, cab</w:t>
      </w:r>
      <w:r>
        <w:rPr>
          <w:rFonts w:ascii="Quicksand" w:eastAsia="Quicksand" w:hAnsi="Quicksand" w:cs="Quicksand"/>
        </w:rPr>
        <w:t>e resaltar que la sola formación de un comité no necesariamente garantiza la gestión comunitaria para resolver los problemas identificados en el tema; por lo tanto, medir la funcionalidad y la gestión de estos comités es uno de los aspectos que se debe ref</w:t>
      </w:r>
      <w:r>
        <w:rPr>
          <w:rFonts w:ascii="Quicksand" w:eastAsia="Quicksand" w:hAnsi="Quicksand" w:cs="Quicksand"/>
        </w:rPr>
        <w:t>lexionar con las comunidades y con las organizaciones indígenas.</w:t>
      </w:r>
    </w:p>
    <w:p w14:paraId="00000290" w14:textId="77777777" w:rsidR="00053842" w:rsidRDefault="00CC2250">
      <w:pPr>
        <w:spacing w:before="240" w:after="160"/>
        <w:jc w:val="both"/>
        <w:rPr>
          <w:rFonts w:ascii="Quicksand" w:eastAsia="Quicksand" w:hAnsi="Quicksand" w:cs="Quicksand"/>
        </w:rPr>
      </w:pPr>
      <w:r>
        <w:rPr>
          <w:rFonts w:ascii="Quicksand" w:eastAsia="Quicksand" w:hAnsi="Quicksand" w:cs="Quicksand"/>
        </w:rPr>
        <w:t>Con relación a la predominancia de grupos étnicos en la zona, se encontró que en las 18 comunidades se encuentran representados 24 pueblos indígenas. La mayor proporción (46,5%) pertenece a la etnia cubeo, el 10,6% desano, 9,8% cacua, 7% siriano, guanano 4</w:t>
      </w:r>
      <w:r>
        <w:rPr>
          <w:rFonts w:ascii="Quicksand" w:eastAsia="Quicksand" w:hAnsi="Quicksand" w:cs="Quicksand"/>
        </w:rPr>
        <w:t>,9%, bará 3,8%. En estas etnias se agrupa el 78,8 de las personas. (Gráfico 20)</w:t>
      </w:r>
    </w:p>
    <w:p w14:paraId="00000291" w14:textId="77777777" w:rsidR="00053842" w:rsidRDefault="00CC2250">
      <w:pPr>
        <w:keepNext/>
        <w:jc w:val="center"/>
        <w:rPr>
          <w:rFonts w:ascii="Quicksand" w:eastAsia="Quicksand" w:hAnsi="Quicksand" w:cs="Quicksand"/>
          <w:color w:val="7F7F7F"/>
          <w:sz w:val="20"/>
          <w:szCs w:val="20"/>
        </w:rPr>
      </w:pPr>
      <w:r>
        <w:rPr>
          <w:rFonts w:ascii="Quicksand" w:eastAsia="Quicksand" w:hAnsi="Quicksand" w:cs="Quicksand"/>
          <w:sz w:val="20"/>
          <w:szCs w:val="20"/>
        </w:rPr>
        <w:t xml:space="preserve">Gráfico 20: </w:t>
      </w:r>
      <w:r>
        <w:rPr>
          <w:rFonts w:ascii="Quicksand" w:eastAsia="Quicksand" w:hAnsi="Quicksand" w:cs="Quicksand"/>
          <w:color w:val="7F7F7F"/>
          <w:sz w:val="20"/>
          <w:szCs w:val="20"/>
        </w:rPr>
        <w:t xml:space="preserve">Pertenencia étnica de la población censada en 18 comunidades. Mitú, Vaupés. </w:t>
      </w:r>
    </w:p>
    <w:p w14:paraId="00000292" w14:textId="77777777" w:rsidR="00053842" w:rsidRDefault="00CC2250">
      <w:pPr>
        <w:spacing w:line="259" w:lineRule="auto"/>
        <w:rPr>
          <w:rFonts w:ascii="Quicksand" w:eastAsia="Quicksand" w:hAnsi="Quicksand" w:cs="Quicksand"/>
        </w:rPr>
      </w:pPr>
      <w:r>
        <w:rPr>
          <w:rFonts w:ascii="Quicksand" w:eastAsia="Quicksand" w:hAnsi="Quicksand" w:cs="Quicksand"/>
          <w:noProof/>
        </w:rPr>
        <w:drawing>
          <wp:inline distT="0" distB="0" distL="0" distR="0">
            <wp:extent cx="5548697" cy="2880355"/>
            <wp:effectExtent l="3175" t="3175" r="3175" b="3175"/>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5548697" cy="2880355"/>
                    </a:xfrm>
                    <a:prstGeom prst="rect">
                      <a:avLst/>
                    </a:prstGeom>
                    <a:ln w="3175">
                      <a:solidFill>
                        <a:srgbClr val="ED7D31"/>
                      </a:solidFill>
                      <a:prstDash val="solid"/>
                    </a:ln>
                  </pic:spPr>
                </pic:pic>
              </a:graphicData>
            </a:graphic>
          </wp:inline>
        </w:drawing>
      </w:r>
    </w:p>
    <w:p w14:paraId="00000293" w14:textId="77777777" w:rsidR="00053842" w:rsidRDefault="00CC2250">
      <w:pPr>
        <w:spacing w:after="160" w:line="259" w:lineRule="auto"/>
        <w:jc w:val="center"/>
        <w:rPr>
          <w:rFonts w:ascii="Quicksand" w:eastAsia="Quicksand" w:hAnsi="Quicksand" w:cs="Quicksand"/>
          <w:sz w:val="18"/>
          <w:szCs w:val="18"/>
        </w:rPr>
      </w:pPr>
      <w:r>
        <w:rPr>
          <w:rFonts w:ascii="Quicksand" w:eastAsia="Quicksand" w:hAnsi="Quicksand" w:cs="Quicksand"/>
          <w:sz w:val="18"/>
          <w:szCs w:val="18"/>
        </w:rPr>
        <w:lastRenderedPageBreak/>
        <w:t>Fuente: Elaboración propia. Censo comunidades de río abajo y la carretera, 2017-2018,</w:t>
      </w:r>
      <w:r>
        <w:rPr>
          <w:rFonts w:ascii="Quicksand" w:eastAsia="Quicksand" w:hAnsi="Quicksand" w:cs="Quicksand"/>
          <w:sz w:val="18"/>
          <w:szCs w:val="18"/>
        </w:rPr>
        <w:t xml:space="preserve"> Sinergias</w:t>
      </w:r>
    </w:p>
    <w:p w14:paraId="00000294" w14:textId="77777777" w:rsidR="00053842" w:rsidRDefault="00053842">
      <w:pPr>
        <w:jc w:val="both"/>
        <w:rPr>
          <w:rFonts w:ascii="Quicksand" w:eastAsia="Quicksand" w:hAnsi="Quicksand" w:cs="Quicksand"/>
        </w:rPr>
      </w:pPr>
    </w:p>
    <w:p w14:paraId="00000295" w14:textId="77777777" w:rsidR="00053842" w:rsidRDefault="00CC2250">
      <w:pPr>
        <w:jc w:val="both"/>
        <w:rPr>
          <w:rFonts w:ascii="Quicksand" w:eastAsia="Quicksand" w:hAnsi="Quicksand" w:cs="Quicksand"/>
        </w:rPr>
      </w:pPr>
      <w:r>
        <w:rPr>
          <w:rFonts w:ascii="Quicksand" w:eastAsia="Quicksand" w:hAnsi="Quicksand" w:cs="Quicksand"/>
        </w:rPr>
        <w:t>Las comunidades indígenas de la zona del proyecto no se agrupan entre sí por etnias indígenas (a excepción de las comunidades de los puntos de Santa Marta y Macaquiño, donde predomina la etnia cubeo y Wacará donde los cacuas se han organizado e</w:t>
      </w:r>
      <w:r>
        <w:rPr>
          <w:rFonts w:ascii="Quicksand" w:eastAsia="Quicksand" w:hAnsi="Quicksand" w:cs="Quicksand"/>
        </w:rPr>
        <w:t xml:space="preserve">n un solo asentamiento después de haber vivido por décadas en condición de nomadismo). </w:t>
      </w:r>
    </w:p>
    <w:p w14:paraId="00000296" w14:textId="77777777" w:rsidR="00053842" w:rsidRDefault="00CC2250">
      <w:pPr>
        <w:jc w:val="both"/>
        <w:rPr>
          <w:rFonts w:ascii="Quicksand" w:eastAsia="Quicksand" w:hAnsi="Quicksand" w:cs="Quicksand"/>
        </w:rPr>
      </w:pPr>
      <w:r>
        <w:rPr>
          <w:rFonts w:ascii="Quicksand" w:eastAsia="Quicksand" w:hAnsi="Quicksand" w:cs="Quicksand"/>
        </w:rPr>
        <w:t xml:space="preserve">Aspectos que priman a la hora de organizar los asentamientos de las comunidades aledañas de la carretera incluyen la cercanía a la cabecera municipal, ubicación de las </w:t>
      </w:r>
      <w:r>
        <w:rPr>
          <w:rFonts w:ascii="Quicksand" w:eastAsia="Quicksand" w:hAnsi="Quicksand" w:cs="Quicksand"/>
        </w:rPr>
        <w:t>chagras, la disponibilidad de instituciones educativas y de empleos remunerados. También cuando se presentan inconvenientes o querellas en las comunidades de origen.</w:t>
      </w:r>
    </w:p>
    <w:p w14:paraId="00000297" w14:textId="77777777" w:rsidR="00053842" w:rsidRDefault="00053842">
      <w:pPr>
        <w:jc w:val="both"/>
        <w:rPr>
          <w:rFonts w:ascii="Quicksand" w:eastAsia="Quicksand" w:hAnsi="Quicksand" w:cs="Quicksand"/>
        </w:rPr>
      </w:pPr>
    </w:p>
    <w:p w14:paraId="00000298" w14:textId="77777777" w:rsidR="00053842" w:rsidRDefault="00CC2250">
      <w:pPr>
        <w:jc w:val="both"/>
        <w:rPr>
          <w:rFonts w:ascii="Quicksand" w:eastAsia="Quicksand" w:hAnsi="Quicksand" w:cs="Quicksand"/>
        </w:rPr>
      </w:pPr>
      <w:r>
        <w:rPr>
          <w:rFonts w:ascii="Quicksand" w:eastAsia="Quicksand" w:hAnsi="Quicksand" w:cs="Quicksand"/>
        </w:rPr>
        <w:t xml:space="preserve">El nivel de organización, la unidad entre los miembros de la comunidad, la existencia de </w:t>
      </w:r>
      <w:r>
        <w:rPr>
          <w:rFonts w:ascii="Quicksand" w:eastAsia="Quicksand" w:hAnsi="Quicksand" w:cs="Quicksand"/>
        </w:rPr>
        <w:t>intereses comunes y los estilos de liderazgo pueden afectar directa o indirectamente los resultados en salud y el trabajo de los auxiliares de enfermería. Durante el ejercicio de caracterización se evidenció que aquellas comunidades cuyos capitanes se habí</w:t>
      </w:r>
      <w:r>
        <w:rPr>
          <w:rFonts w:ascii="Quicksand" w:eastAsia="Quicksand" w:hAnsi="Quicksand" w:cs="Quicksand"/>
        </w:rPr>
        <w:t>an involucrado en el seguimiento a los planes de acción familiares y comunitarios tuvieron mayores avances en relación con aquellas donde sus capitanes no estuvieron comprometidos. Se recomienda incluir el fortalecimiento a las capacidades de liderazgo, in</w:t>
      </w:r>
      <w:r>
        <w:rPr>
          <w:rFonts w:ascii="Quicksand" w:eastAsia="Quicksand" w:hAnsi="Quicksand" w:cs="Quicksand"/>
        </w:rPr>
        <w:t xml:space="preserve">cidencia, resolución de conflictos y las habilidades narrativas y de expresión oral dentro de los planes comunitarios, por ser estas habilidades claves para la buena gestión de un líder comunitario. </w:t>
      </w:r>
    </w:p>
    <w:p w14:paraId="00000299" w14:textId="77777777" w:rsidR="00053842" w:rsidRDefault="00053842">
      <w:pPr>
        <w:jc w:val="both"/>
        <w:rPr>
          <w:rFonts w:ascii="Quicksand" w:eastAsia="Quicksand" w:hAnsi="Quicksand" w:cs="Quicksand"/>
        </w:rPr>
      </w:pPr>
    </w:p>
    <w:p w14:paraId="0000029A" w14:textId="77777777" w:rsidR="00053842" w:rsidRDefault="00CC2250">
      <w:pPr>
        <w:spacing w:before="240"/>
        <w:jc w:val="both"/>
        <w:rPr>
          <w:rFonts w:ascii="Quicksand" w:eastAsia="Quicksand" w:hAnsi="Quicksand" w:cs="Quicksand"/>
          <w:i/>
          <w:color w:val="ED7D31"/>
        </w:rPr>
      </w:pPr>
      <w:r>
        <w:rPr>
          <w:rFonts w:ascii="Quicksand" w:eastAsia="Quicksand" w:hAnsi="Quicksand" w:cs="Quicksand"/>
          <w:i/>
          <w:color w:val="ED7D31"/>
        </w:rPr>
        <w:t>Medicina tradicional y recursos propias</w:t>
      </w:r>
    </w:p>
    <w:p w14:paraId="0000029B" w14:textId="77777777" w:rsidR="00053842" w:rsidRDefault="00CC2250">
      <w:pPr>
        <w:spacing w:before="240" w:after="160"/>
        <w:jc w:val="both"/>
        <w:rPr>
          <w:rFonts w:ascii="Quicksand" w:eastAsia="Quicksand" w:hAnsi="Quicksand" w:cs="Quicksand"/>
        </w:rPr>
      </w:pPr>
      <w:r>
        <w:rPr>
          <w:rFonts w:ascii="Quicksand" w:eastAsia="Quicksand" w:hAnsi="Quicksand" w:cs="Quicksand"/>
        </w:rPr>
        <w:t>En el ejercicio</w:t>
      </w:r>
      <w:r>
        <w:rPr>
          <w:rFonts w:ascii="Quicksand" w:eastAsia="Quicksand" w:hAnsi="Quicksand" w:cs="Quicksand"/>
        </w:rPr>
        <w:t xml:space="preserve"> de caracterización sociocultural de las comunidades también se abordó el tema de medicina tradicional. A partir de las 18 caracterizaciones, se identificó la presencia de 35 sabedores tradicionales (payé, kumú o rezandero). Muchos padres u otros parientes</w:t>
      </w:r>
      <w:r>
        <w:rPr>
          <w:rFonts w:ascii="Quicksand" w:eastAsia="Quicksand" w:hAnsi="Quicksand" w:cs="Quicksand"/>
        </w:rPr>
        <w:t xml:space="preserve"> también pueden aplicar rezos y en casi todas las comunidades pueden encontrarse hombres que saben rezos o tienen conocimientos de curaciones tradicionales; sin embargo, no es tan fácil encontrar jóvenes que hayan iniciado este camino de formación, especia</w:t>
      </w:r>
      <w:r>
        <w:rPr>
          <w:rFonts w:ascii="Quicksand" w:eastAsia="Quicksand" w:hAnsi="Quicksand" w:cs="Quicksand"/>
        </w:rPr>
        <w:t>lmente en aquellas comunidades donde la evangelización erradicó muchas prácticas ancestrales y elementos rituales. No obstante, la caracterización evidenció que actualmente hay 21 aprendices de medicina tradicional. Por otro lado, si bien los datos no espe</w:t>
      </w:r>
      <w:r>
        <w:rPr>
          <w:rFonts w:ascii="Quicksand" w:eastAsia="Quicksand" w:hAnsi="Quicksand" w:cs="Quicksand"/>
        </w:rPr>
        <w:t xml:space="preserve">cifican el rol de las mujeres en los cuidados tradicionales, en casi todas las familias hay mujeres proveedoras de cuidados de salud que conoce y practica prevenciones y curaciones tradicionales. </w:t>
      </w:r>
    </w:p>
    <w:p w14:paraId="0000029C" w14:textId="77777777" w:rsidR="00053842" w:rsidRDefault="00CC2250">
      <w:pPr>
        <w:spacing w:before="240"/>
        <w:jc w:val="both"/>
        <w:rPr>
          <w:rFonts w:ascii="Quicksand" w:eastAsia="Quicksand" w:hAnsi="Quicksand" w:cs="Quicksand"/>
          <w:i/>
          <w:color w:val="ED7D31"/>
        </w:rPr>
      </w:pPr>
      <w:r>
        <w:rPr>
          <w:rFonts w:ascii="Quicksand" w:eastAsia="Quicksand" w:hAnsi="Quicksand" w:cs="Quicksand"/>
          <w:i/>
          <w:color w:val="ED7D31"/>
        </w:rPr>
        <w:t>Acceso y disponibilidad de medios de transporte y comunicac</w:t>
      </w:r>
      <w:r>
        <w:rPr>
          <w:rFonts w:ascii="Quicksand" w:eastAsia="Quicksand" w:hAnsi="Quicksand" w:cs="Quicksand"/>
          <w:i/>
          <w:color w:val="ED7D31"/>
        </w:rPr>
        <w:t>ión</w:t>
      </w:r>
    </w:p>
    <w:p w14:paraId="0000029D" w14:textId="77777777" w:rsidR="00053842" w:rsidRDefault="00CC2250">
      <w:pPr>
        <w:spacing w:before="240"/>
        <w:jc w:val="both"/>
        <w:rPr>
          <w:rFonts w:ascii="Quicksand" w:eastAsia="Quicksand" w:hAnsi="Quicksand" w:cs="Quicksand"/>
        </w:rPr>
      </w:pPr>
      <w:r>
        <w:rPr>
          <w:rFonts w:ascii="Quicksand" w:eastAsia="Quicksand" w:hAnsi="Quicksand" w:cs="Quicksand"/>
        </w:rPr>
        <w:t xml:space="preserve">La movilidad de las familias que residen permanentemente en la comunidad está condicionada por la necesidad de llevar a sus hijos a los establecimientos educativos en la cabecera municipal (especialmente los de bachillerato, por la falta </w:t>
      </w:r>
      <w:r>
        <w:rPr>
          <w:rFonts w:ascii="Quicksand" w:eastAsia="Quicksand" w:hAnsi="Quicksand" w:cs="Quicksand"/>
        </w:rPr>
        <w:lastRenderedPageBreak/>
        <w:t>de oferta) y a</w:t>
      </w:r>
      <w:r>
        <w:rPr>
          <w:rFonts w:ascii="Quicksand" w:eastAsia="Quicksand" w:hAnsi="Quicksand" w:cs="Quicksand"/>
        </w:rPr>
        <w:t xml:space="preserve"> la venta de productos derivados de la chagra, cacería, pesca, o productos procesados como las artesanías y la chicha (fuente de conflictos sociales por su alta producción y consumo en la plaza de mercado de Mitú), o a la participación en eventos religioso</w:t>
      </w:r>
      <w:r>
        <w:rPr>
          <w:rFonts w:ascii="Quicksand" w:eastAsia="Quicksand" w:hAnsi="Quicksand" w:cs="Quicksand"/>
        </w:rPr>
        <w:t>s. De las 18 comunidades, 16 cuentan con medios de transporte (santa Marta y Timbó no tienen), 9 con medios de comunicación y 11 con alguna fuente de energía eléctrica.</w:t>
      </w:r>
    </w:p>
    <w:p w14:paraId="0000029E" w14:textId="77777777" w:rsidR="00053842" w:rsidRDefault="00053842">
      <w:pPr>
        <w:jc w:val="both"/>
        <w:rPr>
          <w:rFonts w:ascii="Quicksand" w:eastAsia="Quicksand" w:hAnsi="Quicksand" w:cs="Quicksand"/>
        </w:rPr>
      </w:pPr>
    </w:p>
    <w:p w14:paraId="0000029F" w14:textId="77777777" w:rsidR="00053842" w:rsidRDefault="00CC2250">
      <w:pPr>
        <w:jc w:val="both"/>
        <w:rPr>
          <w:rFonts w:ascii="Quicksand" w:eastAsia="Quicksand" w:hAnsi="Quicksand" w:cs="Quicksand"/>
        </w:rPr>
      </w:pPr>
      <w:r>
        <w:rPr>
          <w:rFonts w:ascii="Quicksand" w:eastAsia="Quicksand" w:hAnsi="Quicksand" w:cs="Quicksand"/>
        </w:rPr>
        <w:t>La mitad de las comunidades (las de la carretera) no tiene ningún medio de comunicació</w:t>
      </w:r>
      <w:r>
        <w:rPr>
          <w:rFonts w:ascii="Quicksand" w:eastAsia="Quicksand" w:hAnsi="Quicksand" w:cs="Quicksand"/>
        </w:rPr>
        <w:t>n con la central de Mitú como los kioscos de Vive Digital y tampoco cuentan con planes de emergencia comunitaria; sin embargo, los líderes se han provisto de celulares personales y pueden hacer llamadas desde lugares altos estratégicos ubicados entre 20 mi</w:t>
      </w:r>
      <w:r>
        <w:rPr>
          <w:rFonts w:ascii="Quicksand" w:eastAsia="Quicksand" w:hAnsi="Quicksand" w:cs="Quicksand"/>
        </w:rPr>
        <w:t>nutos a 1 hora de distancia a pie, esto, en caso de emergencias o de información prioritaria de eventos de interés en Salud Pública.</w:t>
      </w:r>
    </w:p>
    <w:p w14:paraId="000002A0" w14:textId="77777777" w:rsidR="00053842" w:rsidRDefault="00053842">
      <w:pPr>
        <w:jc w:val="both"/>
        <w:rPr>
          <w:rFonts w:ascii="Quicksand" w:eastAsia="Quicksand" w:hAnsi="Quicksand" w:cs="Quicksand"/>
        </w:rPr>
      </w:pPr>
    </w:p>
    <w:p w14:paraId="000002A1" w14:textId="77777777" w:rsidR="00053842" w:rsidRDefault="00CC2250">
      <w:pPr>
        <w:jc w:val="both"/>
        <w:rPr>
          <w:rFonts w:ascii="Quicksand" w:eastAsia="Quicksand" w:hAnsi="Quicksand" w:cs="Quicksand"/>
        </w:rPr>
      </w:pPr>
      <w:r>
        <w:rPr>
          <w:rFonts w:ascii="Quicksand" w:eastAsia="Quicksand" w:hAnsi="Quicksand" w:cs="Quicksand"/>
        </w:rPr>
        <w:t xml:space="preserve">Cuentan con alguna fuente de energía eléctrica el 61% de las comunidades, lo que ha facilitado la integración comunitaria </w:t>
      </w:r>
      <w:r>
        <w:rPr>
          <w:rFonts w:ascii="Quicksand" w:eastAsia="Quicksand" w:hAnsi="Quicksand" w:cs="Quicksand"/>
        </w:rPr>
        <w:t xml:space="preserve">y el desarrollo de algunas tareas domésticas; aunque también ha traído inconvenientes que generan conflictos al interior de las comunidades como la realización de fiestas durante jornadas extensas y a volúmenes altos, con alto consumo de alcohol y riñas. </w:t>
      </w:r>
    </w:p>
    <w:p w14:paraId="000002A2" w14:textId="77777777" w:rsidR="00053842" w:rsidRDefault="00CC2250">
      <w:pPr>
        <w:spacing w:before="240"/>
        <w:jc w:val="both"/>
        <w:rPr>
          <w:rFonts w:ascii="Quicksand" w:eastAsia="Quicksand" w:hAnsi="Quicksand" w:cs="Quicksand"/>
        </w:rPr>
      </w:pPr>
      <w:r>
        <w:rPr>
          <w:rFonts w:ascii="Quicksand" w:eastAsia="Quicksand" w:hAnsi="Quicksand" w:cs="Quicksand"/>
        </w:rPr>
        <w:t>Un porcentaje similar de comunidades cuenta con institución educativa (tres internados y dos solo bachillerato). Algunos niños y niñas no van a estudiar por dificultades en el acceso a establecimientos educativos o por deserción escolar generada por la fal</w:t>
      </w:r>
      <w:r>
        <w:rPr>
          <w:rFonts w:ascii="Quicksand" w:eastAsia="Quicksand" w:hAnsi="Quicksand" w:cs="Quicksand"/>
        </w:rPr>
        <w:t>ta de útiles o de ropa. Para acceder a la educación secundaria es necesario asistir a un internado en Mitú, lo que aleja a los estudiantes de sus familias y los deja vulnerables a situaciones de soledad, depresión y carencias económicas; factores identific</w:t>
      </w:r>
      <w:r>
        <w:rPr>
          <w:rFonts w:ascii="Quicksand" w:eastAsia="Quicksand" w:hAnsi="Quicksand" w:cs="Quicksand"/>
        </w:rPr>
        <w:t>ados como disparadores del consumo de sustancias psicoactivas y de conductas suicidas.</w:t>
      </w:r>
    </w:p>
    <w:p w14:paraId="000002A3" w14:textId="77777777" w:rsidR="00053842" w:rsidRDefault="00053842">
      <w:pPr>
        <w:jc w:val="both"/>
        <w:rPr>
          <w:rFonts w:ascii="Quicksand" w:eastAsia="Quicksand" w:hAnsi="Quicksand" w:cs="Quicksand"/>
        </w:rPr>
      </w:pPr>
    </w:p>
    <w:p w14:paraId="000002A4" w14:textId="77777777" w:rsidR="00053842" w:rsidRDefault="00053842">
      <w:pPr>
        <w:jc w:val="both"/>
        <w:rPr>
          <w:rFonts w:ascii="Quicksand" w:eastAsia="Quicksand" w:hAnsi="Quicksand" w:cs="Quicksand"/>
        </w:rPr>
      </w:pPr>
    </w:p>
    <w:p w14:paraId="000002A5" w14:textId="77777777" w:rsidR="00053842" w:rsidRDefault="00053842">
      <w:pPr>
        <w:jc w:val="both"/>
        <w:rPr>
          <w:rFonts w:ascii="Quicksand" w:eastAsia="Quicksand" w:hAnsi="Quicksand" w:cs="Quicksand"/>
        </w:rPr>
      </w:pPr>
    </w:p>
    <w:p w14:paraId="000002A6" w14:textId="77777777" w:rsidR="00053842" w:rsidRDefault="00053842"/>
    <w:sectPr w:rsidR="0005384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Quicksand">
    <w:panose1 w:val="02070303000000060000"/>
    <w:charset w:val="00"/>
    <w:family w:val="roman"/>
    <w:notTrueType/>
    <w:pitch w:val="variable"/>
    <w:sig w:usb0="A00000AF" w:usb1="00000008" w:usb2="00000000" w:usb3="00000000" w:csb0="00000111" w:csb1="00000000"/>
  </w:font>
  <w:font w:name="Calibri">
    <w:panose1 w:val="020F0502020204030204"/>
    <w:charset w:val="00"/>
    <w:family w:val="swiss"/>
    <w:pitch w:val="variable"/>
    <w:sig w:usb0="E4002EFF" w:usb1="C000247B" w:usb2="00000009" w:usb3="00000000" w:csb0="000001FF" w:csb1="00000000"/>
  </w:font>
  <w:font w:name="Cardo">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FE302D"/>
    <w:multiLevelType w:val="multilevel"/>
    <w:tmpl w:val="BC44235A"/>
    <w:lvl w:ilvl="0">
      <w:start w:val="2"/>
      <w:numFmt w:val="decimal"/>
      <w:lvlText w:val="%1."/>
      <w:lvlJc w:val="left"/>
      <w:pPr>
        <w:ind w:left="375" w:hanging="375"/>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 w15:restartNumberingAfterBreak="0">
    <w:nsid w:val="5B2C74F2"/>
    <w:multiLevelType w:val="multilevel"/>
    <w:tmpl w:val="675E2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842"/>
    <w:rsid w:val="00053842"/>
    <w:rsid w:val="00CC225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9318A"/>
  <w15:docId w15:val="{4DF9AEEA-3EAA-44D2-9F85-27B058D11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color w:val="C55911"/>
    </w:rPr>
    <w:tblPr>
      <w:tblStyleRowBandSize w:val="1"/>
      <w:tblStyleColBandSize w:val="1"/>
      <w:tblCellMar>
        <w:top w:w="0" w:type="dxa"/>
        <w:left w:w="115" w:type="dxa"/>
        <w:bottom w:w="0" w:type="dxa"/>
        <w:right w:w="115" w:type="dxa"/>
      </w:tblCellMar>
    </w:tblPr>
    <w:tcPr>
      <w:shd w:val="clear" w:color="auto" w:fill="FBE5D5"/>
    </w:tcPr>
    <w:tblStylePr w:type="firstRow">
      <w:rPr>
        <w:b/>
        <w:color w:val="FFFFFF"/>
      </w:rPr>
      <w:tblPr/>
      <w:tcPr>
        <w:shd w:val="clear" w:color="auto" w:fill="ED7D31"/>
      </w:tcPr>
    </w:tblStylePr>
    <w:tblStylePr w:type="lastRow">
      <w:rPr>
        <w:b/>
      </w:rPr>
      <w:tblPr/>
      <w:tcPr>
        <w:tcBorders>
          <w:top w:val="single" w:sz="4" w:space="0" w:color="ED7D31"/>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ED7D31"/>
          <w:left w:val="nil"/>
        </w:tcBorders>
      </w:tcPr>
    </w:tblStylePr>
    <w:tblStylePr w:type="swCell">
      <w:tblPr/>
      <w:tcPr>
        <w:tcBorders>
          <w:top w:val="single" w:sz="4" w:space="0" w:color="ED7D31"/>
          <w:right w:val="nil"/>
        </w:tcBorders>
      </w:tcPr>
    </w:tblStylePr>
  </w:style>
  <w:style w:type="table" w:customStyle="1" w:styleId="a0">
    <w:basedOn w:val="TableNormal"/>
    <w:pPr>
      <w:spacing w:line="240" w:lineRule="auto"/>
    </w:pPr>
    <w:rPr>
      <w:color w:val="C55911"/>
    </w:rPr>
    <w:tblPr>
      <w:tblStyleRowBandSize w:val="1"/>
      <w:tblStyleColBandSize w:val="1"/>
      <w:tblCellMar>
        <w:top w:w="0" w:type="dxa"/>
        <w:left w:w="115" w:type="dxa"/>
        <w:bottom w:w="0" w:type="dxa"/>
        <w:right w:w="115" w:type="dxa"/>
      </w:tblCellMar>
    </w:tblPr>
    <w:tcPr>
      <w:shd w:val="clear" w:color="auto" w:fill="FBE5D5"/>
    </w:tcPr>
    <w:tblStylePr w:type="firstRow">
      <w:rPr>
        <w:b/>
        <w:color w:val="FFFFFF"/>
      </w:rPr>
      <w:tblPr/>
      <w:tcPr>
        <w:shd w:val="clear" w:color="auto" w:fill="ED7D31"/>
      </w:tcPr>
    </w:tblStylePr>
    <w:tblStylePr w:type="lastRow">
      <w:rPr>
        <w:b/>
      </w:rPr>
      <w:tblPr/>
      <w:tcPr>
        <w:tcBorders>
          <w:top w:val="single" w:sz="4" w:space="0" w:color="ED7D31"/>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ED7D31"/>
          <w:left w:val="nil"/>
        </w:tcBorders>
      </w:tcPr>
    </w:tblStylePr>
    <w:tblStylePr w:type="swCell">
      <w:tblPr/>
      <w:tcPr>
        <w:tcBorders>
          <w:top w:val="single" w:sz="4" w:space="0" w:color="ED7D31"/>
          <w:right w:val="nil"/>
        </w:tcBorders>
      </w:tcPr>
    </w:tblStylePr>
  </w:style>
  <w:style w:type="table" w:customStyle="1" w:styleId="a1">
    <w:basedOn w:val="TableNormal"/>
    <w:pPr>
      <w:spacing w:line="240" w:lineRule="auto"/>
    </w:pPr>
    <w:rPr>
      <w:color w:val="C55911"/>
    </w:rPr>
    <w:tblPr>
      <w:tblStyleRowBandSize w:val="1"/>
      <w:tblStyleColBandSize w:val="1"/>
      <w:tblCellMar>
        <w:top w:w="0" w:type="dxa"/>
        <w:left w:w="115" w:type="dxa"/>
        <w:bottom w:w="0" w:type="dxa"/>
        <w:right w:w="115" w:type="dxa"/>
      </w:tblCellMar>
    </w:tblPr>
    <w:tcPr>
      <w:shd w:val="clear" w:color="auto" w:fill="FBE5D5"/>
    </w:tcPr>
    <w:tblStylePr w:type="firstRow">
      <w:rPr>
        <w:b/>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rPr>
      <w:tblPr/>
      <w:tcPr>
        <w:tcBorders>
          <w:top w:val="single" w:sz="4" w:space="0" w:color="F4B083"/>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2">
    <w:basedOn w:val="TableNormal"/>
    <w:pPr>
      <w:spacing w:line="240" w:lineRule="auto"/>
    </w:pPr>
    <w:rPr>
      <w:color w:val="C55911"/>
    </w:rPr>
    <w:tblPr>
      <w:tblStyleRowBandSize w:val="1"/>
      <w:tblStyleColBandSize w:val="1"/>
      <w:tblCellMar>
        <w:top w:w="0" w:type="dxa"/>
        <w:left w:w="115" w:type="dxa"/>
        <w:bottom w:w="0" w:type="dxa"/>
        <w:right w:w="115" w:type="dxa"/>
      </w:tblCellMar>
    </w:tblPr>
    <w:tcPr>
      <w:shd w:val="clear" w:color="auto" w:fill="FBE5D5"/>
    </w:tcPr>
    <w:tblStylePr w:type="firstRow">
      <w:rPr>
        <w:b/>
      </w:rPr>
      <w:tblPr/>
      <w:tcPr>
        <w:tcBorders>
          <w:bottom w:val="single" w:sz="12" w:space="0" w:color="F4B083"/>
        </w:tcBorders>
      </w:tcPr>
    </w:tblStylePr>
    <w:tblStylePr w:type="lastRow">
      <w:rPr>
        <w:b/>
      </w:rPr>
      <w:tblPr/>
      <w:tcPr>
        <w:tcBorders>
          <w:top w:val="single" w:sz="4" w:space="0" w:color="F4B083"/>
        </w:tcBorders>
      </w:tcPr>
    </w:tblStylePr>
    <w:tblStylePr w:type="firstCol">
      <w:rPr>
        <w:b/>
      </w:rPr>
    </w:tblStylePr>
    <w:tblStylePr w:type="lastCol">
      <w:rPr>
        <w:b/>
      </w:rPr>
    </w:tblStylePr>
  </w:style>
  <w:style w:type="table" w:customStyle="1" w:styleId="a3">
    <w:basedOn w:val="TableNormal"/>
    <w:pPr>
      <w:spacing w:line="240" w:lineRule="auto"/>
    </w:pPr>
    <w:rPr>
      <w:color w:val="C55911"/>
    </w:rPr>
    <w:tblPr>
      <w:tblStyleRowBandSize w:val="1"/>
      <w:tblStyleColBandSize w:val="1"/>
      <w:tblCellMar>
        <w:top w:w="0" w:type="dxa"/>
        <w:left w:w="115" w:type="dxa"/>
        <w:bottom w:w="0" w:type="dxa"/>
        <w:right w:w="115" w:type="dxa"/>
      </w:tblCellMar>
    </w:tblPr>
    <w:tcPr>
      <w:shd w:val="clear" w:color="auto" w:fill="FBE5D5"/>
    </w:tcPr>
    <w:tblStylePr w:type="firstRow">
      <w:rPr>
        <w:b/>
        <w:color w:val="FFFFFF"/>
      </w:rPr>
      <w:tblPr/>
      <w:tcPr>
        <w:shd w:val="clear" w:color="auto" w:fill="ED7D31"/>
      </w:tcPr>
    </w:tblStylePr>
    <w:tblStylePr w:type="lastRow">
      <w:rPr>
        <w:b/>
      </w:rPr>
      <w:tblPr/>
      <w:tcPr>
        <w:tcBorders>
          <w:top w:val="single" w:sz="4" w:space="0" w:color="ED7D31"/>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ED7D31"/>
          <w:left w:val="nil"/>
        </w:tcBorders>
      </w:tcPr>
    </w:tblStylePr>
    <w:tblStylePr w:type="swCell">
      <w:tblPr/>
      <w:tcPr>
        <w:tcBorders>
          <w:top w:val="single" w:sz="4" w:space="0" w:color="ED7D31"/>
          <w:right w:val="nil"/>
        </w:tcBorders>
      </w:tcPr>
    </w:tblStylePr>
  </w:style>
  <w:style w:type="table" w:customStyle="1" w:styleId="a4">
    <w:basedOn w:val="TableNormal"/>
    <w:pPr>
      <w:spacing w:line="240" w:lineRule="auto"/>
    </w:pPr>
    <w:rPr>
      <w:color w:val="C55911"/>
    </w:rPr>
    <w:tblPr>
      <w:tblStyleRowBandSize w:val="1"/>
      <w:tblStyleColBandSize w:val="1"/>
      <w:tblCellMar>
        <w:top w:w="0" w:type="dxa"/>
        <w:left w:w="115" w:type="dxa"/>
        <w:bottom w:w="0" w:type="dxa"/>
        <w:right w:w="115" w:type="dxa"/>
      </w:tblCellMar>
    </w:tblPr>
    <w:tcPr>
      <w:shd w:val="clear" w:color="auto" w:fill="FBE5D5"/>
    </w:tcPr>
    <w:tblStylePr w:type="firstRow">
      <w:rPr>
        <w:b/>
        <w:color w:val="FFFFFF"/>
      </w:rPr>
      <w:tblPr/>
      <w:tcPr>
        <w:shd w:val="clear" w:color="auto" w:fill="ED7D31"/>
      </w:tcPr>
    </w:tblStylePr>
    <w:tblStylePr w:type="lastRow">
      <w:rPr>
        <w:b/>
      </w:rPr>
      <w:tblPr/>
      <w:tcPr>
        <w:tcBorders>
          <w:top w:val="single" w:sz="4" w:space="0" w:color="ED7D31"/>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ED7D31"/>
          <w:left w:val="nil"/>
        </w:tcBorders>
      </w:tcPr>
    </w:tblStylePr>
    <w:tblStylePr w:type="swCell">
      <w:tblPr/>
      <w:tcPr>
        <w:tcBorders>
          <w:top w:val="single" w:sz="4" w:space="0" w:color="ED7D31"/>
          <w:right w:val="nil"/>
        </w:tcBorders>
      </w:tcPr>
    </w:tblStylePr>
  </w:style>
  <w:style w:type="table" w:customStyle="1" w:styleId="a5">
    <w:basedOn w:val="TableNormal"/>
    <w:pPr>
      <w:spacing w:line="240" w:lineRule="auto"/>
    </w:pPr>
    <w:rPr>
      <w:color w:val="C55911"/>
    </w:rPr>
    <w:tblPr>
      <w:tblStyleRowBandSize w:val="1"/>
      <w:tblStyleColBandSize w:val="1"/>
      <w:tblCellMar>
        <w:top w:w="0" w:type="dxa"/>
        <w:left w:w="115" w:type="dxa"/>
        <w:bottom w:w="0" w:type="dxa"/>
        <w:right w:w="115" w:type="dxa"/>
      </w:tblCellMar>
    </w:tblPr>
    <w:tcPr>
      <w:shd w:val="clear" w:color="auto" w:fill="FBE5D5"/>
    </w:tcPr>
    <w:tblStylePr w:type="firstRow">
      <w:rPr>
        <w:b/>
        <w:color w:val="FFFFFF"/>
      </w:rPr>
      <w:tblPr/>
      <w:tcPr>
        <w:shd w:val="clear" w:color="auto" w:fill="ED7D31"/>
      </w:tcPr>
    </w:tblStylePr>
    <w:tblStylePr w:type="lastRow">
      <w:rPr>
        <w:b/>
      </w:rPr>
      <w:tblPr/>
      <w:tcPr>
        <w:tcBorders>
          <w:top w:val="single" w:sz="4" w:space="0" w:color="ED7D31"/>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ED7D31"/>
          <w:left w:val="nil"/>
        </w:tcBorders>
      </w:tcPr>
    </w:tblStylePr>
    <w:tblStylePr w:type="swCell">
      <w:tblPr/>
      <w:tcPr>
        <w:tcBorders>
          <w:top w:val="single" w:sz="4" w:space="0" w:color="ED7D3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24</Pages>
  <Words>5801</Words>
  <Characters>31907</Characters>
  <Application>Microsoft Office Word</Application>
  <DocSecurity>0</DocSecurity>
  <Lines>265</Lines>
  <Paragraphs>75</Paragraphs>
  <ScaleCrop>false</ScaleCrop>
  <Company/>
  <LinksUpToDate>false</LinksUpToDate>
  <CharactersWithSpaces>37633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Valentina</cp:lastModifiedBy>
  <cp:revision>2</cp:revision>
  <dcterms:created xsi:type="dcterms:W3CDTF">2021-08-05T16:57:00Z</dcterms:created>
  <dcterms:modified xsi:type="dcterms:W3CDTF">2021-08-05T17:00:00Z</dcterms:modified>
</cp:coreProperties>
</file>