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071C5" w:rsidRDefault="00CB69BA">
      <w:r>
        <w:t>Origen: INFORME FINAL _fase 2_OPS-Sinergias.pdf</w:t>
      </w:r>
      <w:r>
        <w:tab/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ab/>
      </w:r>
    </w:p>
    <w:p w14:paraId="00000002" w14:textId="77777777" w:rsidR="001071C5" w:rsidRDefault="00CB69BA">
      <w:pPr>
        <w:jc w:val="center"/>
        <w:rPr>
          <w:u w:val="single"/>
        </w:rPr>
      </w:pPr>
      <w:r>
        <w:tab/>
      </w:r>
      <w:r>
        <w:rPr>
          <w:u w:val="single"/>
        </w:rPr>
        <w:t>Modelo Explicativo de la Conducta Suicida</w:t>
      </w:r>
    </w:p>
    <w:p w14:paraId="00000003" w14:textId="77777777" w:rsidR="001071C5" w:rsidRDefault="00CB69BA">
      <w:r>
        <w:tab/>
      </w:r>
      <w:r>
        <w:tab/>
      </w:r>
    </w:p>
    <w:p w14:paraId="00000004" w14:textId="77777777" w:rsidR="001071C5" w:rsidRDefault="00CB69BA">
      <w:r>
        <w:rPr>
          <w:rFonts w:ascii="Calibri" w:eastAsia="Calibri" w:hAnsi="Calibri" w:cs="Calibri"/>
          <w:color w:val="595959"/>
          <w:sz w:val="28"/>
          <w:szCs w:val="28"/>
        </w:rPr>
        <w:t>Contexto general</w:t>
      </w:r>
      <w:r>
        <w:tab/>
      </w:r>
      <w:r>
        <w:tab/>
      </w:r>
      <w:r>
        <w:tab/>
      </w:r>
      <w:r>
        <w:tab/>
      </w:r>
    </w:p>
    <w:p w14:paraId="00000005" w14:textId="698F3399" w:rsidR="001071C5" w:rsidRDefault="00CB69BA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Hemos destacado en documentos anteriores el impacto cada vez mayor que las conductas suicidas vienen teniendo en el contexto global, regional, nacional y local. Este impacto es aún</w:t>
      </w:r>
      <w:r>
        <w:rPr>
          <w:rFonts w:ascii="Calibri" w:eastAsia="Calibri" w:hAnsi="Calibri" w:cs="Calibri"/>
        </w:rPr>
        <w:t xml:space="preserve"> más</w:t>
      </w:r>
      <w:r>
        <w:rPr>
          <w:rFonts w:ascii="Calibri" w:eastAsia="Calibri" w:hAnsi="Calibri" w:cs="Calibri"/>
        </w:rPr>
        <w:t xml:space="preserve"> relevante en las poblaciones caracterizadas como grupos étnicos</w:t>
      </w:r>
      <w:r>
        <w:rPr>
          <w:rFonts w:ascii="Calibri" w:eastAsia="Calibri" w:hAnsi="Calibri" w:cs="Calibri"/>
        </w:rPr>
        <w:t xml:space="preserve">, en </w:t>
      </w:r>
      <w:r>
        <w:rPr>
          <w:rFonts w:ascii="Calibri" w:eastAsia="Calibri" w:hAnsi="Calibri" w:cs="Calibri"/>
        </w:rPr>
        <w:t>especial indígenas</w:t>
      </w:r>
      <w:r>
        <w:rPr>
          <w:rFonts w:ascii="Calibri" w:eastAsia="Calibri" w:hAnsi="Calibri" w:cs="Calibri"/>
        </w:rPr>
        <w:t>, donde existen unos particulares elementos contextuales de inequidad, que hace de estas conductas una respuesta social, colectiva e individual a situaciones auténticamente</w:t>
      </w:r>
      <w:r>
        <w:rPr>
          <w:rFonts w:ascii="Calibri" w:eastAsia="Calibri" w:hAnsi="Calibri" w:cs="Calibri"/>
        </w:rPr>
        <w:t xml:space="preserve"> dramáticas</w:t>
      </w:r>
      <w:r>
        <w:rPr>
          <w:rFonts w:ascii="Calibri" w:eastAsia="Calibri" w:hAnsi="Calibri" w:cs="Calibri"/>
        </w:rPr>
        <w:t xml:space="preserve"> vividas por estas poblaciones. Hechos como la viole</w:t>
      </w:r>
      <w:r>
        <w:rPr>
          <w:rFonts w:ascii="Calibri" w:eastAsia="Calibri" w:hAnsi="Calibri" w:cs="Calibri"/>
        </w:rPr>
        <w:t>ncia estructural, el conflicto armado, la colonización</w:t>
      </w:r>
      <w:r>
        <w:rPr>
          <w:rFonts w:ascii="Calibri" w:eastAsia="Calibri" w:hAnsi="Calibri" w:cs="Calibri"/>
        </w:rPr>
        <w:t>, el destierro, el desplazamiento de territorios originarios, la desintegración</w:t>
      </w:r>
      <w:r>
        <w:rPr>
          <w:rFonts w:ascii="Calibri" w:eastAsia="Calibri" w:hAnsi="Calibri" w:cs="Calibri"/>
        </w:rPr>
        <w:t xml:space="preserve"> de las redes familiares y sociales, la desaparición</w:t>
      </w:r>
      <w:r>
        <w:rPr>
          <w:rFonts w:ascii="Calibri" w:eastAsia="Calibri" w:hAnsi="Calibri" w:cs="Calibri"/>
        </w:rPr>
        <w:t xml:space="preserve"> de recursos tradicionales de orden ritual, y la escasa respuesta in</w:t>
      </w:r>
      <w:r>
        <w:rPr>
          <w:rFonts w:ascii="Calibri" w:eastAsia="Calibri" w:hAnsi="Calibri" w:cs="Calibri"/>
        </w:rPr>
        <w:t>stitucional generan un escenario complejo con consecuencias directas en los grupos indígenas</w:t>
      </w:r>
      <w:r>
        <w:rPr>
          <w:rFonts w:ascii="Calibri" w:eastAsia="Calibri" w:hAnsi="Calibri" w:cs="Calibri"/>
        </w:rPr>
        <w:t>.</w:t>
      </w:r>
    </w:p>
    <w:p w14:paraId="00000006" w14:textId="1707ABB4" w:rsidR="001071C5" w:rsidRDefault="00CB69B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 el caso específico</w:t>
      </w:r>
      <w:r>
        <w:rPr>
          <w:rFonts w:ascii="Calibri" w:eastAsia="Calibri" w:hAnsi="Calibri" w:cs="Calibri"/>
        </w:rPr>
        <w:t xml:space="preserve"> del departamento del Vaupés</w:t>
      </w:r>
      <w:r>
        <w:rPr>
          <w:rFonts w:ascii="Calibri" w:eastAsia="Calibri" w:hAnsi="Calibri" w:cs="Calibri"/>
        </w:rPr>
        <w:t>, esta situación</w:t>
      </w:r>
      <w:r>
        <w:rPr>
          <w:rFonts w:ascii="Calibri" w:eastAsia="Calibri" w:hAnsi="Calibri" w:cs="Calibri"/>
        </w:rPr>
        <w:t xml:space="preserve"> ha sido traducida mediante mecanismos socioculturales en lo que hemos denominado como “model</w:t>
      </w:r>
      <w:r>
        <w:rPr>
          <w:rFonts w:ascii="Calibri" w:eastAsia="Calibri" w:hAnsi="Calibri" w:cs="Calibri"/>
        </w:rPr>
        <w:t>o explicativo” de la conducta suicida, el cual ha sido obtenido en un primer momento, del trabajo con poblaciones asentadas en el área</w:t>
      </w:r>
      <w:r>
        <w:rPr>
          <w:rFonts w:ascii="Calibri" w:eastAsia="Calibri" w:hAnsi="Calibri" w:cs="Calibri"/>
        </w:rPr>
        <w:t xml:space="preserve"> conocida como suburbana. Este trabajo constó de entrevistas con individuos específicos</w:t>
      </w:r>
      <w:r>
        <w:rPr>
          <w:rFonts w:ascii="Calibri" w:eastAsia="Calibri" w:hAnsi="Calibri" w:cs="Calibri"/>
        </w:rPr>
        <w:t xml:space="preserve">, algunos de ellos directamente </w:t>
      </w:r>
      <w:r>
        <w:rPr>
          <w:rFonts w:ascii="Calibri" w:eastAsia="Calibri" w:hAnsi="Calibri" w:cs="Calibri"/>
        </w:rPr>
        <w:t>afectados por estas conductas, con comunidades mediante grupos focales y talleres, expertos en medicina tradicional y líderes</w:t>
      </w:r>
      <w:r>
        <w:rPr>
          <w:rFonts w:ascii="Calibri" w:eastAsia="Calibri" w:hAnsi="Calibri" w:cs="Calibri"/>
        </w:rPr>
        <w:t>. Como “modelo”, no es un inamovible, sino que se alimenta de los datos que a diario se generan en la población</w:t>
      </w:r>
      <w:r>
        <w:rPr>
          <w:rFonts w:ascii="Calibri" w:eastAsia="Calibri" w:hAnsi="Calibri" w:cs="Calibri"/>
        </w:rPr>
        <w:t xml:space="preserve"> y las institucion</w:t>
      </w:r>
      <w:r>
        <w:rPr>
          <w:rFonts w:ascii="Calibri" w:eastAsia="Calibri" w:hAnsi="Calibri" w:cs="Calibri"/>
        </w:rPr>
        <w:t xml:space="preserve">es departamentales. Este “modelo” se presenta en la figura 1. </w:t>
      </w:r>
    </w:p>
    <w:p w14:paraId="00000007" w14:textId="77777777" w:rsidR="001071C5" w:rsidRDefault="00CB69BA">
      <w:r>
        <w:tab/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ab/>
      </w:r>
    </w:p>
    <w:p w14:paraId="00000008" w14:textId="77777777" w:rsidR="001071C5" w:rsidRDefault="00CB69BA">
      <w:r>
        <w:tab/>
      </w:r>
      <w:r>
        <w:tab/>
      </w:r>
      <w:r>
        <w:tab/>
      </w:r>
    </w:p>
    <w:p w14:paraId="00000009" w14:textId="77777777" w:rsidR="001071C5" w:rsidRDefault="00CB69B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Figura 1. Modelo explicativo de la conducta suicida</w:t>
      </w:r>
    </w:p>
    <w:p w14:paraId="0000000A" w14:textId="77777777" w:rsidR="001071C5" w:rsidRDefault="001071C5"/>
    <w:p w14:paraId="0000000B" w14:textId="77777777" w:rsidR="001071C5" w:rsidRDefault="00CB69BA">
      <w:r>
        <w:rPr>
          <w:noProof/>
        </w:rPr>
        <w:drawing>
          <wp:inline distT="114300" distB="114300" distL="114300" distR="114300">
            <wp:extent cx="5731200" cy="26416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64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C" w14:textId="77777777" w:rsidR="001071C5" w:rsidRDefault="00CB69BA">
      <w:r>
        <w:tab/>
      </w:r>
      <w:r>
        <w:tab/>
      </w:r>
      <w:r>
        <w:tab/>
      </w:r>
    </w:p>
    <w:p w14:paraId="0000000D" w14:textId="77777777" w:rsidR="001071C5" w:rsidRDefault="00CB69BA">
      <w:r>
        <w:tab/>
      </w:r>
      <w:r>
        <w:tab/>
      </w:r>
    </w:p>
    <w:p w14:paraId="0000000E" w14:textId="77777777" w:rsidR="001071C5" w:rsidRDefault="00CB69BA">
      <w:r>
        <w:tab/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ab/>
      </w:r>
    </w:p>
    <w:p w14:paraId="0000000F" w14:textId="77777777" w:rsidR="001071C5" w:rsidRDefault="00CB69BA">
      <w:r>
        <w:tab/>
      </w:r>
      <w:r>
        <w:tab/>
      </w:r>
      <w:r>
        <w:tab/>
      </w:r>
    </w:p>
    <w:p w14:paraId="00000010" w14:textId="77777777" w:rsidR="001071C5" w:rsidRDefault="00CB69BA">
      <w:r>
        <w:lastRenderedPageBreak/>
        <w:tab/>
      </w:r>
      <w:r>
        <w:tab/>
      </w:r>
      <w:r>
        <w:tab/>
      </w:r>
      <w:r>
        <w:tab/>
      </w:r>
    </w:p>
    <w:p w14:paraId="00000011" w14:textId="77777777" w:rsidR="001071C5" w:rsidRDefault="00CB69BA">
      <w:r>
        <w:tab/>
      </w:r>
      <w:r>
        <w:tab/>
      </w:r>
      <w:r>
        <w:tab/>
      </w:r>
      <w:r>
        <w:tab/>
      </w:r>
      <w:r>
        <w:tab/>
      </w:r>
    </w:p>
    <w:p w14:paraId="00000012" w14:textId="14053529" w:rsidR="001071C5" w:rsidRDefault="00CB69BA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El concepto de “modelo explicativo” constituye una elaboración</w:t>
      </w:r>
      <w:r>
        <w:rPr>
          <w:rFonts w:ascii="Calibri" w:eastAsia="Calibri" w:hAnsi="Calibri" w:cs="Calibri"/>
        </w:rPr>
        <w:t xml:space="preserve"> de la Psiquiatría</w:t>
      </w:r>
      <w:r>
        <w:rPr>
          <w:rFonts w:ascii="Calibri" w:eastAsia="Calibri" w:hAnsi="Calibri" w:cs="Calibri"/>
        </w:rPr>
        <w:t xml:space="preserve"> Cultural </w:t>
      </w:r>
      <w:r>
        <w:rPr>
          <w:rFonts w:ascii="Calibri" w:eastAsia="Calibri" w:hAnsi="Calibri" w:cs="Calibri"/>
        </w:rPr>
        <w:t>norteamericana. En esencia, un modelo explicativo es la construcción</w:t>
      </w:r>
      <w:r>
        <w:rPr>
          <w:rFonts w:ascii="Calibri" w:eastAsia="Calibri" w:hAnsi="Calibri" w:cs="Calibri"/>
        </w:rPr>
        <w:t xml:space="preserve"> que un individuo elabora para dar sentido a la presencia de ciertos signos/síntomas</w:t>
      </w:r>
      <w:r>
        <w:rPr>
          <w:rFonts w:ascii="Calibri" w:eastAsia="Calibri" w:hAnsi="Calibri" w:cs="Calibri"/>
          <w:sz w:val="14"/>
          <w:szCs w:val="14"/>
        </w:rPr>
        <w:t>1</w:t>
      </w:r>
      <w:r>
        <w:rPr>
          <w:rFonts w:ascii="Calibri" w:eastAsia="Calibri" w:hAnsi="Calibri" w:cs="Calibri"/>
        </w:rPr>
        <w:t>. A diferencia de los postulados básicos</w:t>
      </w:r>
      <w:r>
        <w:rPr>
          <w:rFonts w:ascii="Calibri" w:eastAsia="Calibri" w:hAnsi="Calibri" w:cs="Calibri"/>
        </w:rPr>
        <w:t xml:space="preserve"> de la medicina que plantea una única</w:t>
      </w:r>
      <w:r>
        <w:rPr>
          <w:rFonts w:ascii="Calibri" w:eastAsia="Calibri" w:hAnsi="Calibri" w:cs="Calibri"/>
        </w:rPr>
        <w:t xml:space="preserve"> forma, habitualmente biológica</w:t>
      </w:r>
      <w:r>
        <w:rPr>
          <w:rFonts w:ascii="Calibri" w:eastAsia="Calibri" w:hAnsi="Calibri" w:cs="Calibri"/>
        </w:rPr>
        <w:t>, de interpretación</w:t>
      </w:r>
      <w:r>
        <w:rPr>
          <w:rFonts w:ascii="Calibri" w:eastAsia="Calibri" w:hAnsi="Calibri" w:cs="Calibri"/>
        </w:rPr>
        <w:t xml:space="preserve"> de estos</w:t>
      </w:r>
      <w:r>
        <w:rPr>
          <w:rFonts w:ascii="Calibri" w:eastAsia="Calibri" w:hAnsi="Calibri" w:cs="Calibri"/>
        </w:rPr>
        <w:t>, la Antropología</w:t>
      </w:r>
      <w:r>
        <w:rPr>
          <w:rFonts w:ascii="Calibri" w:eastAsia="Calibri" w:hAnsi="Calibri" w:cs="Calibri"/>
        </w:rPr>
        <w:t>, soporte de esta Psiquiatría</w:t>
      </w:r>
      <w:r>
        <w:rPr>
          <w:rFonts w:ascii="Calibri" w:eastAsia="Calibri" w:hAnsi="Calibri" w:cs="Calibri"/>
        </w:rPr>
        <w:t xml:space="preserve"> Cultural, plantea que estos</w:t>
      </w:r>
      <w:r>
        <w:rPr>
          <w:rFonts w:ascii="Calibri" w:eastAsia="Calibri" w:hAnsi="Calibri" w:cs="Calibri"/>
        </w:rPr>
        <w:t xml:space="preserve"> incluyen significados sociales, culturales e históricos</w:t>
      </w:r>
      <w:r>
        <w:rPr>
          <w:rFonts w:ascii="Calibri" w:eastAsia="Calibri" w:hAnsi="Calibri" w:cs="Calibri"/>
        </w:rPr>
        <w:t>, los cuales son traducidos al lenguaje coloquial de uso cotidiano</w:t>
      </w:r>
      <w:r>
        <w:rPr>
          <w:rFonts w:ascii="Calibri" w:eastAsia="Calibri" w:hAnsi="Calibri" w:cs="Calibri"/>
          <w:sz w:val="14"/>
          <w:szCs w:val="14"/>
        </w:rPr>
        <w:t>2</w:t>
      </w:r>
      <w:r>
        <w:rPr>
          <w:rFonts w:ascii="Calibri" w:eastAsia="Calibri" w:hAnsi="Calibri" w:cs="Calibri"/>
        </w:rPr>
        <w:t>.</w:t>
      </w:r>
    </w:p>
    <w:p w14:paraId="00000013" w14:textId="77777777" w:rsidR="001071C5" w:rsidRDefault="00CB69BA">
      <w:r>
        <w:tab/>
      </w:r>
      <w:r>
        <w:tab/>
      </w:r>
      <w:r>
        <w:tab/>
      </w:r>
      <w:r>
        <w:tab/>
      </w:r>
      <w:r>
        <w:tab/>
      </w:r>
    </w:p>
    <w:p w14:paraId="00000014" w14:textId="3B2F493E" w:rsidR="001071C5" w:rsidRDefault="00CB69BA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Los “mo</w:t>
      </w:r>
      <w:r>
        <w:rPr>
          <w:rFonts w:ascii="Calibri" w:eastAsia="Calibri" w:hAnsi="Calibri" w:cs="Calibri"/>
        </w:rPr>
        <w:t>delos explicativos” se encuentran en la base de lo que se conoce como formulación</w:t>
      </w:r>
      <w:r>
        <w:rPr>
          <w:rFonts w:ascii="Calibri" w:eastAsia="Calibri" w:hAnsi="Calibri" w:cs="Calibri"/>
        </w:rPr>
        <w:t xml:space="preserve"> cultural. Esta última</w:t>
      </w:r>
      <w:r>
        <w:rPr>
          <w:rFonts w:ascii="Calibri" w:eastAsia="Calibri" w:hAnsi="Calibri" w:cs="Calibri"/>
        </w:rPr>
        <w:t xml:space="preserve"> constituye una herramienta de aplicación</w:t>
      </w:r>
      <w:r>
        <w:rPr>
          <w:rFonts w:ascii="Calibri" w:eastAsia="Calibri" w:hAnsi="Calibri" w:cs="Calibri"/>
        </w:rPr>
        <w:t xml:space="preserve"> clínica</w:t>
      </w:r>
      <w:r>
        <w:rPr>
          <w:rFonts w:ascii="Calibri" w:eastAsia="Calibri" w:hAnsi="Calibri" w:cs="Calibri"/>
        </w:rPr>
        <w:t xml:space="preserve"> para relativizar las interpretaciones biomédicas</w:t>
      </w:r>
      <w:r>
        <w:rPr>
          <w:rFonts w:ascii="Calibri" w:eastAsia="Calibri" w:hAnsi="Calibri" w:cs="Calibri"/>
        </w:rPr>
        <w:t xml:space="preserve"> en contextos de multiculturalidad, los cuales per</w:t>
      </w:r>
      <w:r>
        <w:rPr>
          <w:rFonts w:ascii="Calibri" w:eastAsia="Calibri" w:hAnsi="Calibri" w:cs="Calibri"/>
        </w:rPr>
        <w:t>miten reorientar la intervención</w:t>
      </w:r>
      <w:r>
        <w:rPr>
          <w:rFonts w:ascii="Calibri" w:eastAsia="Calibri" w:hAnsi="Calibri" w:cs="Calibri"/>
        </w:rPr>
        <w:t>. Además</w:t>
      </w:r>
      <w:r>
        <w:rPr>
          <w:rFonts w:ascii="Calibri" w:eastAsia="Calibri" w:hAnsi="Calibri" w:cs="Calibri"/>
        </w:rPr>
        <w:t xml:space="preserve"> del “modelo explicativo”, la formulación</w:t>
      </w:r>
      <w:r>
        <w:rPr>
          <w:rFonts w:ascii="Calibri" w:eastAsia="Calibri" w:hAnsi="Calibri" w:cs="Calibri"/>
        </w:rPr>
        <w:t xml:space="preserve"> cultural exige tener presente la identidad cultural del individuo, los factores culturales relacionados con el desarrollo psicosocial y las respectivas capacidades relacio</w:t>
      </w:r>
      <w:r>
        <w:rPr>
          <w:rFonts w:ascii="Calibri" w:eastAsia="Calibri" w:hAnsi="Calibri" w:cs="Calibri"/>
        </w:rPr>
        <w:t>nadas, los elementos culturales que modifican la relación</w:t>
      </w:r>
      <w:r>
        <w:rPr>
          <w:rFonts w:ascii="Calibri" w:eastAsia="Calibri" w:hAnsi="Calibri" w:cs="Calibri"/>
        </w:rPr>
        <w:t xml:space="preserve"> médico</w:t>
      </w:r>
      <w:r>
        <w:rPr>
          <w:rFonts w:ascii="Calibri" w:eastAsia="Calibri" w:hAnsi="Calibri" w:cs="Calibri"/>
        </w:rPr>
        <w:t>- paciente, y la evaluación</w:t>
      </w:r>
      <w:r>
        <w:rPr>
          <w:rFonts w:ascii="Calibri" w:eastAsia="Calibri" w:hAnsi="Calibri" w:cs="Calibri"/>
        </w:rPr>
        <w:t xml:space="preserve"> cultural integral del diagnóstico</w:t>
      </w:r>
      <w:r>
        <w:rPr>
          <w:rFonts w:ascii="Calibri" w:eastAsia="Calibri" w:hAnsi="Calibri" w:cs="Calibri"/>
        </w:rPr>
        <w:t xml:space="preserve"> y el cuidado</w:t>
      </w:r>
      <w:r>
        <w:rPr>
          <w:rFonts w:ascii="Calibri" w:eastAsia="Calibri" w:hAnsi="Calibri" w:cs="Calibri"/>
          <w:sz w:val="14"/>
          <w:szCs w:val="14"/>
        </w:rPr>
        <w:t>3</w:t>
      </w:r>
      <w:r>
        <w:rPr>
          <w:rFonts w:ascii="Calibri" w:eastAsia="Calibri" w:hAnsi="Calibri" w:cs="Calibri"/>
        </w:rPr>
        <w:t>.</w:t>
      </w:r>
    </w:p>
    <w:p w14:paraId="00000015" w14:textId="77777777" w:rsidR="001071C5" w:rsidRDefault="00CB69BA">
      <w:r>
        <w:tab/>
      </w:r>
      <w:r>
        <w:tab/>
      </w:r>
      <w:r>
        <w:tab/>
      </w:r>
      <w:r>
        <w:tab/>
      </w:r>
      <w:r>
        <w:tab/>
      </w:r>
    </w:p>
    <w:p w14:paraId="00000016" w14:textId="4506E8C8" w:rsidR="001071C5" w:rsidRDefault="00CB69BA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Los “modelos explicativos”, como producto individualizado, son socializados generando signos, significado</w:t>
      </w:r>
      <w:r>
        <w:rPr>
          <w:rFonts w:ascii="Calibri" w:eastAsia="Calibri" w:hAnsi="Calibri" w:cs="Calibri"/>
        </w:rPr>
        <w:t>s y prácticas</w:t>
      </w:r>
      <w:r>
        <w:rPr>
          <w:rFonts w:ascii="Calibri" w:eastAsia="Calibri" w:hAnsi="Calibri" w:cs="Calibri"/>
        </w:rPr>
        <w:t xml:space="preserve"> evidenciadas en los grupos poblacionales, asunto que ha sido puesto de presente por la Psiquiatría</w:t>
      </w:r>
      <w:r>
        <w:rPr>
          <w:rFonts w:ascii="Calibri" w:eastAsia="Calibri" w:hAnsi="Calibri" w:cs="Calibri"/>
        </w:rPr>
        <w:t xml:space="preserve"> Transcultural canadiense</w:t>
      </w:r>
      <w:r>
        <w:rPr>
          <w:rFonts w:ascii="Calibri" w:eastAsia="Calibri" w:hAnsi="Calibri" w:cs="Calibri"/>
          <w:sz w:val="14"/>
          <w:szCs w:val="14"/>
        </w:rPr>
        <w:t>4</w:t>
      </w:r>
      <w:r>
        <w:rPr>
          <w:rFonts w:ascii="Calibri" w:eastAsia="Calibri" w:hAnsi="Calibri" w:cs="Calibri"/>
        </w:rPr>
        <w:t>. Estos signos, significados y prácticas</w:t>
      </w:r>
      <w:r>
        <w:rPr>
          <w:rFonts w:ascii="Calibri" w:eastAsia="Calibri" w:hAnsi="Calibri" w:cs="Calibri"/>
        </w:rPr>
        <w:t xml:space="preserve"> serían</w:t>
      </w:r>
      <w:r>
        <w:rPr>
          <w:rFonts w:ascii="Calibri" w:eastAsia="Calibri" w:hAnsi="Calibri" w:cs="Calibri"/>
        </w:rPr>
        <w:t xml:space="preserve"> el auténtico</w:t>
      </w:r>
      <w:r>
        <w:rPr>
          <w:rFonts w:ascii="Calibri" w:eastAsia="Calibri" w:hAnsi="Calibri" w:cs="Calibri"/>
        </w:rPr>
        <w:t xml:space="preserve"> objeto de intervención</w:t>
      </w:r>
      <w:r>
        <w:rPr>
          <w:rFonts w:ascii="Calibri" w:eastAsia="Calibri" w:hAnsi="Calibri" w:cs="Calibri"/>
        </w:rPr>
        <w:t xml:space="preserve"> de la Salud Publica</w:t>
      </w:r>
      <w:r>
        <w:rPr>
          <w:rFonts w:ascii="Calibri" w:eastAsia="Calibri" w:hAnsi="Calibri" w:cs="Calibri"/>
        </w:rPr>
        <w:t>, la cua</w:t>
      </w:r>
      <w:r>
        <w:rPr>
          <w:rFonts w:ascii="Calibri" w:eastAsia="Calibri" w:hAnsi="Calibri" w:cs="Calibri"/>
        </w:rPr>
        <w:t>l se apoyaría</w:t>
      </w:r>
      <w:r>
        <w:rPr>
          <w:rFonts w:ascii="Calibri" w:eastAsia="Calibri" w:hAnsi="Calibri" w:cs="Calibri"/>
        </w:rPr>
        <w:t xml:space="preserve"> en una etnoepidemiología que permita la comprensión</w:t>
      </w:r>
      <w:r>
        <w:rPr>
          <w:rFonts w:ascii="Calibri" w:eastAsia="Calibri" w:hAnsi="Calibri" w:cs="Calibri"/>
        </w:rPr>
        <w:t xml:space="preserve"> de los denominados “integrales de salud/no salud”</w:t>
      </w:r>
      <w:r>
        <w:rPr>
          <w:rFonts w:ascii="Calibri" w:eastAsia="Calibri" w:hAnsi="Calibri" w:cs="Calibri"/>
          <w:sz w:val="14"/>
          <w:szCs w:val="14"/>
        </w:rPr>
        <w:t>5</w:t>
      </w:r>
      <w:r>
        <w:rPr>
          <w:rFonts w:ascii="Calibri" w:eastAsia="Calibri" w:hAnsi="Calibri" w:cs="Calibri"/>
        </w:rPr>
        <w:t>.</w:t>
      </w:r>
    </w:p>
    <w:p w14:paraId="00000017" w14:textId="77777777" w:rsidR="001071C5" w:rsidRDefault="00CB69BA">
      <w:r>
        <w:tab/>
      </w:r>
      <w:r>
        <w:tab/>
      </w:r>
      <w:r>
        <w:tab/>
      </w:r>
      <w:r>
        <w:tab/>
      </w:r>
      <w:r>
        <w:tab/>
      </w:r>
    </w:p>
    <w:p w14:paraId="00000018" w14:textId="2D44745F" w:rsidR="001071C5" w:rsidRDefault="00CB69BA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Lo anterior es la razón</w:t>
      </w:r>
      <w:r>
        <w:rPr>
          <w:rFonts w:ascii="Calibri" w:eastAsia="Calibri" w:hAnsi="Calibri" w:cs="Calibri"/>
        </w:rPr>
        <w:t xml:space="preserve"> por la cual se ha optado por delinear las acciones de intervención</w:t>
      </w:r>
      <w:r>
        <w:rPr>
          <w:rFonts w:ascii="Calibri" w:eastAsia="Calibri" w:hAnsi="Calibri" w:cs="Calibri"/>
        </w:rPr>
        <w:t xml:space="preserve"> en el contexto del modelo de cuidado</w:t>
      </w:r>
      <w:r>
        <w:rPr>
          <w:rFonts w:ascii="Calibri" w:eastAsia="Calibri" w:hAnsi="Calibri" w:cs="Calibri"/>
        </w:rPr>
        <w:t xml:space="preserve"> de la salud del departamento, ya que este se inserta en los signos, significados y prácticas</w:t>
      </w:r>
      <w:r>
        <w:rPr>
          <w:rFonts w:ascii="Calibri" w:eastAsia="Calibri" w:hAnsi="Calibri" w:cs="Calibri"/>
        </w:rPr>
        <w:t xml:space="preserve"> de la población</w:t>
      </w:r>
      <w:r>
        <w:rPr>
          <w:rFonts w:ascii="Calibri" w:eastAsia="Calibri" w:hAnsi="Calibri" w:cs="Calibri"/>
        </w:rPr>
        <w:t>. De tal manera, las intervenciones que se proponen se realizan en los componentes establecidos, los cuales son ordenados por lo que hemos denomi</w:t>
      </w:r>
      <w:r>
        <w:rPr>
          <w:rFonts w:ascii="Calibri" w:eastAsia="Calibri" w:hAnsi="Calibri" w:cs="Calibri"/>
        </w:rPr>
        <w:t>nado mediaciones, las cuales responden a la lógica</w:t>
      </w:r>
      <w:r>
        <w:rPr>
          <w:rFonts w:ascii="Calibri" w:eastAsia="Calibri" w:hAnsi="Calibri" w:cs="Calibri"/>
        </w:rPr>
        <w:t xml:space="preserve"> de la determinación</w:t>
      </w:r>
      <w:r>
        <w:rPr>
          <w:rFonts w:ascii="Calibri" w:eastAsia="Calibri" w:hAnsi="Calibri" w:cs="Calibri"/>
        </w:rPr>
        <w:t xml:space="preserve"> social como alternativa teórica</w:t>
      </w:r>
      <w:r>
        <w:rPr>
          <w:rFonts w:ascii="Calibri" w:eastAsia="Calibri" w:hAnsi="Calibri" w:cs="Calibri"/>
        </w:rPr>
        <w:t xml:space="preserve">. </w:t>
      </w:r>
    </w:p>
    <w:p w14:paraId="00000019" w14:textId="77777777" w:rsidR="001071C5" w:rsidRDefault="00CB69BA">
      <w:r>
        <w:tab/>
      </w:r>
      <w:r>
        <w:tab/>
      </w:r>
      <w:r>
        <w:tab/>
      </w:r>
      <w:r>
        <w:tab/>
      </w:r>
      <w:r>
        <w:tab/>
      </w:r>
    </w:p>
    <w:p w14:paraId="0000001A" w14:textId="77777777" w:rsidR="001071C5" w:rsidRDefault="00CB69BA">
      <w:r>
        <w:tab/>
      </w:r>
      <w:r>
        <w:tab/>
      </w:r>
      <w:r>
        <w:tab/>
      </w:r>
      <w:r>
        <w:tab/>
      </w:r>
      <w:r>
        <w:tab/>
      </w:r>
    </w:p>
    <w:p w14:paraId="0000001B" w14:textId="77777777" w:rsidR="001071C5" w:rsidRPr="00CB69BA" w:rsidRDefault="00CB69BA">
      <w:pPr>
        <w:spacing w:before="240" w:after="240"/>
        <w:rPr>
          <w:rFonts w:ascii="Calibri" w:eastAsia="Calibri" w:hAnsi="Calibri" w:cs="Calibri"/>
          <w:color w:val="404040"/>
          <w:sz w:val="32"/>
          <w:szCs w:val="32"/>
          <w:lang w:val="en-US"/>
        </w:rPr>
      </w:pPr>
      <w:r w:rsidRPr="00CB69BA">
        <w:rPr>
          <w:rFonts w:ascii="Calibri" w:eastAsia="Calibri" w:hAnsi="Calibri" w:cs="Calibri"/>
          <w:color w:val="404040"/>
          <w:sz w:val="32"/>
          <w:szCs w:val="32"/>
          <w:lang w:val="en-US"/>
        </w:rPr>
        <w:t xml:space="preserve">BIBLIOGRAFIA </w:t>
      </w:r>
    </w:p>
    <w:p w14:paraId="0000001C" w14:textId="77777777" w:rsidR="001071C5" w:rsidRPr="00CB69BA" w:rsidRDefault="00CB69BA">
      <w:pPr>
        <w:rPr>
          <w:lang w:val="en-US"/>
        </w:rPr>
      </w:pPr>
      <w:r w:rsidRPr="00CB69BA">
        <w:rPr>
          <w:lang w:val="en-US"/>
        </w:rPr>
        <w:tab/>
      </w:r>
      <w:r w:rsidRPr="00CB69BA">
        <w:rPr>
          <w:lang w:val="en-US"/>
        </w:rPr>
        <w:tab/>
      </w:r>
      <w:r w:rsidRPr="00CB69BA">
        <w:rPr>
          <w:lang w:val="en-US"/>
        </w:rPr>
        <w:tab/>
      </w:r>
      <w:r w:rsidRPr="00CB69BA">
        <w:rPr>
          <w:lang w:val="en-US"/>
        </w:rPr>
        <w:tab/>
      </w:r>
      <w:r w:rsidRPr="00CB69BA">
        <w:rPr>
          <w:lang w:val="en-US"/>
        </w:rPr>
        <w:tab/>
      </w:r>
    </w:p>
    <w:p w14:paraId="0000001D" w14:textId="77777777" w:rsidR="001071C5" w:rsidRPr="00CB69BA" w:rsidRDefault="00CB69BA">
      <w:pPr>
        <w:spacing w:before="240" w:after="240"/>
        <w:rPr>
          <w:rFonts w:ascii="Calibri" w:eastAsia="Calibri" w:hAnsi="Calibri" w:cs="Calibri"/>
          <w:sz w:val="20"/>
          <w:szCs w:val="20"/>
          <w:lang w:val="en-US"/>
        </w:rPr>
      </w:pPr>
      <w:r w:rsidRPr="00CB69BA">
        <w:rPr>
          <w:rFonts w:ascii="Calibri" w:eastAsia="Calibri" w:hAnsi="Calibri" w:cs="Calibri"/>
          <w:sz w:val="14"/>
          <w:szCs w:val="14"/>
          <w:lang w:val="en-US"/>
        </w:rPr>
        <w:t xml:space="preserve">1 </w:t>
      </w:r>
      <w:r w:rsidRPr="00CB69BA">
        <w:rPr>
          <w:rFonts w:ascii="Calibri" w:eastAsia="Calibri" w:hAnsi="Calibri" w:cs="Calibri"/>
          <w:sz w:val="20"/>
          <w:szCs w:val="20"/>
          <w:lang w:val="en-US"/>
        </w:rPr>
        <w:t>Kleinman, A. (1988). The Illness Narratives. Suffering, Healing, and the Human Condition. Basic Books. United States.</w:t>
      </w:r>
    </w:p>
    <w:p w14:paraId="0000001E" w14:textId="77777777" w:rsidR="001071C5" w:rsidRPr="00CB69BA" w:rsidRDefault="00CB69BA">
      <w:pPr>
        <w:spacing w:before="240" w:after="240"/>
        <w:rPr>
          <w:rFonts w:ascii="Calibri" w:eastAsia="Calibri" w:hAnsi="Calibri" w:cs="Calibri"/>
          <w:sz w:val="20"/>
          <w:szCs w:val="20"/>
          <w:lang w:val="en-US"/>
        </w:rPr>
      </w:pPr>
      <w:r w:rsidRPr="00CB69BA">
        <w:rPr>
          <w:rFonts w:ascii="Calibri" w:eastAsia="Calibri" w:hAnsi="Calibri" w:cs="Calibri"/>
          <w:sz w:val="14"/>
          <w:szCs w:val="14"/>
          <w:lang w:val="en-US"/>
        </w:rPr>
        <w:t xml:space="preserve">2 </w:t>
      </w:r>
      <w:r w:rsidRPr="00CB69BA">
        <w:rPr>
          <w:rFonts w:ascii="Calibri" w:eastAsia="Calibri" w:hAnsi="Calibri" w:cs="Calibri"/>
          <w:sz w:val="20"/>
          <w:szCs w:val="20"/>
          <w:lang w:val="en-US"/>
        </w:rPr>
        <w:t>Kleinman, A (1988). Rethinking Psychiatry. From Cultural Category to Personal Experience.The Free Press. United States.</w:t>
      </w:r>
    </w:p>
    <w:p w14:paraId="0000001F" w14:textId="57178526" w:rsidR="001071C5" w:rsidRPr="00CB69BA" w:rsidRDefault="00CB69BA">
      <w:pPr>
        <w:spacing w:before="240" w:after="240"/>
        <w:rPr>
          <w:rFonts w:ascii="Calibri" w:eastAsia="Calibri" w:hAnsi="Calibri" w:cs="Calibri"/>
          <w:sz w:val="20"/>
          <w:szCs w:val="20"/>
          <w:lang w:val="en-US"/>
        </w:rPr>
      </w:pPr>
      <w:r w:rsidRPr="00CB69BA">
        <w:rPr>
          <w:rFonts w:ascii="Calibri" w:eastAsia="Calibri" w:hAnsi="Calibri" w:cs="Calibri"/>
          <w:sz w:val="14"/>
          <w:szCs w:val="14"/>
          <w:lang w:val="en-US"/>
        </w:rPr>
        <w:lastRenderedPageBreak/>
        <w:t xml:space="preserve">3 </w:t>
      </w:r>
      <w:r w:rsidRPr="00CB69BA">
        <w:rPr>
          <w:rFonts w:ascii="Calibri" w:eastAsia="Calibri" w:hAnsi="Calibri" w:cs="Calibri"/>
          <w:sz w:val="20"/>
          <w:szCs w:val="20"/>
          <w:lang w:val="en-US"/>
        </w:rPr>
        <w:t xml:space="preserve">Mezzich, JE &amp; </w:t>
      </w:r>
      <w:r w:rsidRPr="00CB69BA">
        <w:rPr>
          <w:rFonts w:ascii="Calibri" w:eastAsia="Calibri" w:hAnsi="Calibri" w:cs="Calibri"/>
          <w:sz w:val="20"/>
          <w:szCs w:val="20"/>
          <w:lang w:val="en-US"/>
        </w:rPr>
        <w:t>Caracci, G [Eds.] (</w:t>
      </w:r>
      <w:r w:rsidRPr="00CB69BA">
        <w:rPr>
          <w:rFonts w:ascii="Calibri" w:eastAsia="Calibri" w:hAnsi="Calibri" w:cs="Calibri"/>
          <w:sz w:val="20"/>
          <w:szCs w:val="20"/>
          <w:lang w:val="en-US"/>
        </w:rPr>
        <w:t>2008). Cultural Formulation. A Reader for Psychiatric Diagnosis. Jason Aronson. United States.</w:t>
      </w:r>
    </w:p>
    <w:p w14:paraId="00000020" w14:textId="77777777" w:rsidR="001071C5" w:rsidRDefault="00CB69BA">
      <w:pPr>
        <w:spacing w:before="240" w:after="240"/>
        <w:rPr>
          <w:rFonts w:ascii="Calibri" w:eastAsia="Calibri" w:hAnsi="Calibri" w:cs="Calibri"/>
          <w:sz w:val="20"/>
          <w:szCs w:val="20"/>
        </w:rPr>
      </w:pPr>
      <w:r w:rsidRPr="00CB69BA">
        <w:rPr>
          <w:rFonts w:ascii="Calibri" w:eastAsia="Calibri" w:hAnsi="Calibri" w:cs="Calibri"/>
          <w:sz w:val="14"/>
          <w:szCs w:val="14"/>
          <w:lang w:val="en-US"/>
        </w:rPr>
        <w:t xml:space="preserve">4 </w:t>
      </w:r>
      <w:r w:rsidRPr="00CB69BA">
        <w:rPr>
          <w:rFonts w:ascii="Calibri" w:eastAsia="Calibri" w:hAnsi="Calibri" w:cs="Calibri"/>
          <w:sz w:val="20"/>
          <w:szCs w:val="20"/>
          <w:lang w:val="en-US"/>
        </w:rPr>
        <w:t>Bibeau, G &amp; Corin, E (1995). “Culturaliser l’épidémiologie psychiatrique. Les systèmes de signes, de sens et d’actions en santé mentale”.</w:t>
      </w:r>
      <w:r w:rsidRPr="00CB69BA">
        <w:rPr>
          <w:rFonts w:ascii="Calibri" w:eastAsia="Calibri" w:hAnsi="Calibri" w:cs="Calibri"/>
          <w:sz w:val="20"/>
          <w:szCs w:val="20"/>
          <w:lang w:val="en-US"/>
        </w:rPr>
        <w:t xml:space="preserve"> En: Trudel, F; Charest, P &amp; Breton, Y [Eds.]. La construction de l’anthropologie québécoise. Mélanges offerts à Marc-Adélard Tremblay. </w:t>
      </w:r>
      <w:r>
        <w:rPr>
          <w:rFonts w:ascii="Calibri" w:eastAsia="Calibri" w:hAnsi="Calibri" w:cs="Calibri"/>
          <w:sz w:val="20"/>
          <w:szCs w:val="20"/>
        </w:rPr>
        <w:t>Les Presses de l’Université Laval. Québec, Canada. pp. 105-148.</w:t>
      </w:r>
    </w:p>
    <w:p w14:paraId="00000021" w14:textId="77777777" w:rsidR="001071C5" w:rsidRDefault="00CB69BA">
      <w:pPr>
        <w:spacing w:before="240" w:after="2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 xml:space="preserve">5 </w:t>
      </w:r>
      <w:r>
        <w:rPr>
          <w:rFonts w:ascii="Calibri" w:eastAsia="Calibri" w:hAnsi="Calibri" w:cs="Calibri"/>
          <w:sz w:val="20"/>
          <w:szCs w:val="20"/>
        </w:rPr>
        <w:t xml:space="preserve">Almeida-Filho, N (2001). </w:t>
      </w:r>
      <w:r w:rsidRPr="00CB69BA">
        <w:rPr>
          <w:rFonts w:ascii="Calibri" w:eastAsia="Calibri" w:hAnsi="Calibri" w:cs="Calibri"/>
          <w:sz w:val="20"/>
          <w:szCs w:val="20"/>
          <w:lang w:val="en-US"/>
        </w:rPr>
        <w:t xml:space="preserve">“For a General Theory </w:t>
      </w:r>
      <w:r w:rsidRPr="00CB69BA">
        <w:rPr>
          <w:rFonts w:ascii="Calibri" w:eastAsia="Calibri" w:hAnsi="Calibri" w:cs="Calibri"/>
          <w:sz w:val="20"/>
          <w:szCs w:val="20"/>
          <w:lang w:val="en-US"/>
        </w:rPr>
        <w:t xml:space="preserve">of Health: preliminary epistemological and anthropological notes”. </w:t>
      </w:r>
      <w:r>
        <w:rPr>
          <w:rFonts w:ascii="Calibri" w:eastAsia="Calibri" w:hAnsi="Calibri" w:cs="Calibri"/>
          <w:sz w:val="20"/>
          <w:szCs w:val="20"/>
        </w:rPr>
        <w:t>Cad Saudé Pública 17(4): 753-799.</w:t>
      </w:r>
    </w:p>
    <w:p w14:paraId="00000022" w14:textId="77777777" w:rsidR="001071C5" w:rsidRDefault="00CB69BA">
      <w:pPr>
        <w:spacing w:before="240" w:after="2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 xml:space="preserve">6 </w:t>
      </w:r>
      <w:r>
        <w:rPr>
          <w:rFonts w:ascii="Calibri" w:eastAsia="Calibri" w:hAnsi="Calibri" w:cs="Calibri"/>
          <w:sz w:val="20"/>
          <w:szCs w:val="20"/>
        </w:rPr>
        <w:t>Haro Encinas, JA (2000). “Cuidados Profanos: una dimensión ambigua en la atención en salud”. En: Perdiguero, E &amp; Comelles JP [Eds.]. Medicina y Cultu</w:t>
      </w:r>
      <w:r>
        <w:rPr>
          <w:rFonts w:ascii="Calibri" w:eastAsia="Calibri" w:hAnsi="Calibri" w:cs="Calibri"/>
          <w:sz w:val="20"/>
          <w:szCs w:val="20"/>
        </w:rPr>
        <w:t>ra. Estudios entre la Antropología y la Medicina. Edicions Bellaterra. Barcelona, España. pps. 101-162.</w:t>
      </w:r>
    </w:p>
    <w:p w14:paraId="00000023" w14:textId="77777777" w:rsidR="001071C5" w:rsidRDefault="00CB69BA">
      <w:pPr>
        <w:spacing w:before="240" w:after="2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 xml:space="preserve">7 </w:t>
      </w:r>
      <w:r>
        <w:rPr>
          <w:rFonts w:ascii="Calibri" w:eastAsia="Calibri" w:hAnsi="Calibri" w:cs="Calibri"/>
          <w:sz w:val="20"/>
          <w:szCs w:val="20"/>
        </w:rPr>
        <w:t>García Canclini, N (2001). Culturas Híbridas. Estrategias para entrar y salir de la moderninada. Ediciones Grijalbo. México D.F., México.</w:t>
      </w:r>
    </w:p>
    <w:p w14:paraId="00000024" w14:textId="77777777" w:rsidR="001071C5" w:rsidRDefault="00CB69BA">
      <w:pPr>
        <w:spacing w:before="240" w:after="2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 xml:space="preserve">8 </w:t>
      </w:r>
      <w:r>
        <w:rPr>
          <w:rFonts w:ascii="Calibri" w:eastAsia="Calibri" w:hAnsi="Calibri" w:cs="Calibri"/>
          <w:sz w:val="20"/>
          <w:szCs w:val="20"/>
        </w:rPr>
        <w:t>Mini</w:t>
      </w:r>
      <w:r>
        <w:rPr>
          <w:rFonts w:ascii="Calibri" w:eastAsia="Calibri" w:hAnsi="Calibri" w:cs="Calibri"/>
          <w:sz w:val="20"/>
          <w:szCs w:val="20"/>
        </w:rPr>
        <w:t>sterio de Protección Social (2005). Política Nacional de Prestación de Servicios. Ministerio de</w:t>
      </w:r>
    </w:p>
    <w:p w14:paraId="00000025" w14:textId="77777777" w:rsidR="001071C5" w:rsidRDefault="00CB69BA">
      <w:pPr>
        <w:spacing w:before="240" w:after="2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Protección Social. Bogotá D.C. Colombia.</w:t>
      </w:r>
    </w:p>
    <w:p w14:paraId="00000026" w14:textId="77777777" w:rsidR="001071C5" w:rsidRDefault="00CB69BA">
      <w:pPr>
        <w:spacing w:before="240" w:after="2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 xml:space="preserve">9 </w:t>
      </w:r>
      <w:r>
        <w:rPr>
          <w:rFonts w:ascii="Calibri" w:eastAsia="Calibri" w:hAnsi="Calibri" w:cs="Calibri"/>
          <w:sz w:val="20"/>
          <w:szCs w:val="20"/>
        </w:rPr>
        <w:t>Organización Panamericana de la Salud (2010). Redes integradas de servicios. Conceptos, opciones de política y</w:t>
      </w:r>
      <w:r>
        <w:rPr>
          <w:rFonts w:ascii="Calibri" w:eastAsia="Calibri" w:hAnsi="Calibri" w:cs="Calibri"/>
          <w:sz w:val="20"/>
          <w:szCs w:val="20"/>
        </w:rPr>
        <w:t xml:space="preserve"> hoja de ruta para su implementación en las Américas. Organización Panamericana de la Salud. Washington, USA</w:t>
      </w:r>
    </w:p>
    <w:p w14:paraId="00000027" w14:textId="77777777" w:rsidR="001071C5" w:rsidRDefault="00CB69BA">
      <w:pPr>
        <w:spacing w:before="240" w:after="240"/>
        <w:rPr>
          <w:rFonts w:ascii="Calibri" w:eastAsia="Calibri" w:hAnsi="Calibri" w:cs="Calibri"/>
          <w:color w:val="0000FF"/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 xml:space="preserve">10 </w:t>
      </w:r>
      <w:r>
        <w:rPr>
          <w:rFonts w:ascii="Calibri" w:eastAsia="Calibri" w:hAnsi="Calibri" w:cs="Calibri"/>
          <w:sz w:val="20"/>
          <w:szCs w:val="20"/>
        </w:rPr>
        <w:t xml:space="preserve">Organización Mundial de la Salud Prevención del Suicidio (SUPRE). 2012. Disponible en: </w:t>
      </w:r>
      <w:r>
        <w:rPr>
          <w:rFonts w:ascii="Calibri" w:eastAsia="Calibri" w:hAnsi="Calibri" w:cs="Calibri"/>
          <w:color w:val="0000FF"/>
          <w:sz w:val="20"/>
          <w:szCs w:val="20"/>
        </w:rPr>
        <w:t>http://www.who.int/mental_health/prevention/suicide/</w:t>
      </w:r>
      <w:r>
        <w:rPr>
          <w:rFonts w:ascii="Calibri" w:eastAsia="Calibri" w:hAnsi="Calibri" w:cs="Calibri"/>
          <w:color w:val="0000FF"/>
          <w:sz w:val="20"/>
          <w:szCs w:val="20"/>
        </w:rPr>
        <w:t>suicideprevent/es/</w:t>
      </w:r>
    </w:p>
    <w:p w14:paraId="00000028" w14:textId="77777777" w:rsidR="001071C5" w:rsidRDefault="00CB69BA">
      <w:pPr>
        <w:spacing w:before="240" w:after="2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 xml:space="preserve">11 </w:t>
      </w:r>
      <w:r>
        <w:rPr>
          <w:rFonts w:ascii="Calibri" w:eastAsia="Calibri" w:hAnsi="Calibri" w:cs="Calibri"/>
          <w:sz w:val="20"/>
          <w:szCs w:val="20"/>
        </w:rPr>
        <w:t>Unicef. 2012. Suicidio adolescente en pueblos indígenas. Tres estudios de caso.</w:t>
      </w:r>
    </w:p>
    <w:p w14:paraId="00000029" w14:textId="77777777" w:rsidR="001071C5" w:rsidRDefault="00CB69BA">
      <w:pPr>
        <w:spacing w:before="240" w:after="2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 xml:space="preserve">12 </w:t>
      </w:r>
      <w:r>
        <w:rPr>
          <w:rFonts w:ascii="Calibri" w:eastAsia="Calibri" w:hAnsi="Calibri" w:cs="Calibri"/>
          <w:sz w:val="20"/>
          <w:szCs w:val="20"/>
        </w:rPr>
        <w:t>Organización mundial de la salud, 2000. Prevención del suicidio un instrumento para trabajadores de atención primaria de salud, trastornos mentales</w:t>
      </w:r>
      <w:r>
        <w:rPr>
          <w:rFonts w:ascii="Calibri" w:eastAsia="Calibri" w:hAnsi="Calibri" w:cs="Calibri"/>
          <w:sz w:val="20"/>
          <w:szCs w:val="20"/>
        </w:rPr>
        <w:t xml:space="preserve"> y cerebrales, departamento de salud mental y toxicomanías. Ginebra, 2000</w:t>
      </w:r>
    </w:p>
    <w:p w14:paraId="0000002A" w14:textId="77777777" w:rsidR="001071C5" w:rsidRDefault="00CB69BA">
      <w:pPr>
        <w:spacing w:before="240" w:after="2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 xml:space="preserve">13 </w:t>
      </w:r>
      <w:r>
        <w:rPr>
          <w:rFonts w:ascii="Calibri" w:eastAsia="Calibri" w:hAnsi="Calibri" w:cs="Calibri"/>
          <w:sz w:val="20"/>
          <w:szCs w:val="20"/>
        </w:rPr>
        <w:t>Sinergias, 2012. “Epidemia de Cuerdas”: Caracterización del comportamiento suicida en indígenas del Vaupés y propuesta metodológica para su análisis por determinantes y para</w:t>
      </w:r>
      <w:r>
        <w:rPr>
          <w:rFonts w:ascii="Calibri" w:eastAsia="Calibri" w:hAnsi="Calibri" w:cs="Calibri"/>
          <w:sz w:val="20"/>
          <w:szCs w:val="20"/>
        </w:rPr>
        <w:t xml:space="preserve"> el estudio de casos. Informe.</w:t>
      </w:r>
    </w:p>
    <w:p w14:paraId="0000002B" w14:textId="77777777" w:rsidR="001071C5" w:rsidRDefault="00CB69BA">
      <w:pPr>
        <w:spacing w:before="240" w:after="2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14"/>
          <w:szCs w:val="14"/>
        </w:rPr>
        <w:t xml:space="preserve">14 </w:t>
      </w:r>
      <w:r>
        <w:rPr>
          <w:rFonts w:ascii="Calibri" w:eastAsia="Calibri" w:hAnsi="Calibri" w:cs="Calibri"/>
          <w:sz w:val="20"/>
          <w:szCs w:val="20"/>
        </w:rPr>
        <w:t xml:space="preserve">Sinergias, Ministerio de Salud y Protección Social. Plan Nacional de Prevención de las Conductas Suicidas. Versión preliminar. </w:t>
      </w:r>
    </w:p>
    <w:p w14:paraId="0000002C" w14:textId="77777777" w:rsidR="001071C5" w:rsidRDefault="00CB69BA">
      <w:r>
        <w:tab/>
      </w:r>
      <w:r>
        <w:tab/>
      </w:r>
      <w:r>
        <w:tab/>
      </w:r>
      <w:r>
        <w:tab/>
      </w:r>
    </w:p>
    <w:p w14:paraId="0000002D" w14:textId="77777777" w:rsidR="001071C5" w:rsidRDefault="00CB69BA">
      <w:r>
        <w:tab/>
      </w:r>
      <w:r>
        <w:tab/>
      </w:r>
      <w:r>
        <w:tab/>
      </w:r>
    </w:p>
    <w:p w14:paraId="0000002E" w14:textId="77777777" w:rsidR="001071C5" w:rsidRDefault="00CB69BA">
      <w:r>
        <w:tab/>
      </w:r>
      <w:r>
        <w:tab/>
      </w:r>
    </w:p>
    <w:p w14:paraId="0000002F" w14:textId="77777777" w:rsidR="001071C5" w:rsidRDefault="001071C5"/>
    <w:sectPr w:rsidR="001071C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1C5"/>
    <w:rsid w:val="001071C5"/>
    <w:rsid w:val="00CB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8F45D1-8837-4655-A924-01915F54C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1004</Words>
  <Characters>5528</Characters>
  <Application>Microsoft Office Word</Application>
  <DocSecurity>0</DocSecurity>
  <Lines>46</Lines>
  <Paragraphs>13</Paragraphs>
  <ScaleCrop>false</ScaleCrop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Valentina</cp:lastModifiedBy>
  <cp:revision>2</cp:revision>
  <dcterms:created xsi:type="dcterms:W3CDTF">2021-08-05T22:39:00Z</dcterms:created>
  <dcterms:modified xsi:type="dcterms:W3CDTF">2021-08-05T22:42:00Z</dcterms:modified>
</cp:coreProperties>
</file>