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7EB5F8E" w:rsidR="007958CD" w:rsidRDefault="0065383D">
      <w:pPr>
        <w:spacing w:before="240" w:after="160" w:line="259" w:lineRule="auto"/>
        <w:jc w:val="both"/>
        <w:rPr>
          <w:rFonts w:ascii="Quicksand" w:eastAsia="Quicksand" w:hAnsi="Quicksand" w:cs="Quicksand"/>
          <w:color w:val="7030A0"/>
          <w:sz w:val="72"/>
          <w:szCs w:val="72"/>
        </w:rPr>
      </w:pPr>
      <w:r>
        <w:rPr>
          <w:rFonts w:ascii="Quicksand" w:eastAsia="Quicksand" w:hAnsi="Quicksand" w:cs="Quicksand"/>
          <w:i/>
        </w:rPr>
        <w:t xml:space="preserve">Origen: Informe Final </w:t>
      </w:r>
      <w:r>
        <w:rPr>
          <w:rFonts w:ascii="Quicksand" w:eastAsia="Quicksand" w:hAnsi="Quicksand" w:cs="Quicksand"/>
          <w:i/>
        </w:rPr>
        <w:t xml:space="preserve">F. Éxito </w:t>
      </w:r>
      <w:r>
        <w:rPr>
          <w:rFonts w:ascii="Quicksand" w:eastAsia="Quicksand" w:hAnsi="Quicksand" w:cs="Quicksand"/>
          <w:i/>
        </w:rPr>
        <w:t xml:space="preserve">_ </w:t>
      </w:r>
      <w:r>
        <w:rPr>
          <w:rFonts w:ascii="Quicksand" w:eastAsia="Quicksand" w:hAnsi="Quicksand" w:cs="Quicksand"/>
          <w:i/>
        </w:rPr>
        <w:t>Vaupé</w:t>
      </w:r>
      <w:r>
        <w:rPr>
          <w:rFonts w:ascii="Quicksand" w:eastAsia="Quicksand" w:hAnsi="Quicksand" w:cs="Quicksand"/>
          <w:i/>
        </w:rPr>
        <w:t>s Salud</w:t>
      </w:r>
    </w:p>
    <w:p w14:paraId="00000002" w14:textId="77777777" w:rsidR="007958CD" w:rsidRDefault="0065383D">
      <w:pPr>
        <w:pStyle w:val="Ttulo2"/>
        <w:spacing w:before="40" w:after="0" w:line="259" w:lineRule="auto"/>
        <w:rPr>
          <w:rFonts w:ascii="Quicksand" w:eastAsia="Quicksand" w:hAnsi="Quicksand" w:cs="Quicksand"/>
          <w:color w:val="7030A0"/>
          <w:sz w:val="72"/>
          <w:szCs w:val="72"/>
        </w:rPr>
      </w:pPr>
      <w:bookmarkStart w:id="0" w:name="_6kjz696mko4z" w:colFirst="0" w:colLast="0"/>
      <w:bookmarkEnd w:id="0"/>
      <w:r>
        <w:rPr>
          <w:rFonts w:ascii="Quicksand" w:eastAsia="Quicksand" w:hAnsi="Quicksand" w:cs="Quicksand"/>
          <w:color w:val="7030A0"/>
          <w:sz w:val="72"/>
          <w:szCs w:val="72"/>
        </w:rPr>
        <w:t xml:space="preserve">Salud de la mujer </w:t>
      </w:r>
    </w:p>
    <w:p w14:paraId="00000003" w14:textId="77777777" w:rsidR="007958CD" w:rsidRDefault="007958CD">
      <w:pPr>
        <w:spacing w:before="240" w:after="160" w:line="240" w:lineRule="auto"/>
        <w:jc w:val="both"/>
        <w:rPr>
          <w:rFonts w:ascii="Quicksand" w:eastAsia="Quicksand" w:hAnsi="Quicksand" w:cs="Quicksand"/>
        </w:rPr>
      </w:pPr>
    </w:p>
    <w:p w14:paraId="00000004" w14:textId="77777777" w:rsidR="007958CD" w:rsidRDefault="0065383D">
      <w:pPr>
        <w:pStyle w:val="Ttulo3"/>
        <w:spacing w:before="40" w:after="0" w:line="259" w:lineRule="auto"/>
        <w:rPr>
          <w:rFonts w:ascii="Quicksand" w:eastAsia="Quicksand" w:hAnsi="Quicksand" w:cs="Quicksand"/>
          <w:color w:val="6A1F79"/>
        </w:rPr>
      </w:pPr>
      <w:bookmarkStart w:id="1" w:name="_2bn6wsx" w:colFirst="0" w:colLast="0"/>
      <w:bookmarkEnd w:id="1"/>
      <w:r>
        <w:rPr>
          <w:rFonts w:ascii="Quicksand" w:eastAsia="Quicksand" w:hAnsi="Quicksand" w:cs="Quicksand"/>
          <w:color w:val="6A1F79"/>
        </w:rPr>
        <w:t>3.1. Captación, seguimiento y canalización de gestantes</w:t>
      </w:r>
    </w:p>
    <w:p w14:paraId="00000005" w14:textId="77777777" w:rsidR="007958CD" w:rsidRDefault="0065383D">
      <w:pPr>
        <w:spacing w:before="120" w:after="120"/>
        <w:jc w:val="both"/>
        <w:rPr>
          <w:rFonts w:ascii="Quicksand" w:eastAsia="Quicksand" w:hAnsi="Quicksand" w:cs="Quicksand"/>
        </w:rPr>
      </w:pPr>
      <w:r>
        <w:rPr>
          <w:rFonts w:ascii="Quicksand" w:eastAsia="Quicksand" w:hAnsi="Quicksand" w:cs="Quicksand"/>
        </w:rPr>
        <w:t>La tendencia actual a nivel mundial para reducir el número de muertes maternas es apoyar de forma prioritaria las acciones que se desarrollan durante el cuidado prenatal y reforzar los servicios de salud que se ofrecen en el primer nivel de atención garant</w:t>
      </w:r>
      <w:r>
        <w:rPr>
          <w:rFonts w:ascii="Quicksand" w:eastAsia="Quicksand" w:hAnsi="Quicksand" w:cs="Quicksand"/>
        </w:rPr>
        <w:t xml:space="preserve">izando además que, en caso de ser necesario, se cuente con un adecuado sistema de referencia para atención en niveles mayores de complejidad. </w:t>
      </w:r>
    </w:p>
    <w:p w14:paraId="00000006" w14:textId="77777777" w:rsidR="007958CD" w:rsidRDefault="0065383D">
      <w:pPr>
        <w:spacing w:before="120" w:after="120"/>
        <w:jc w:val="both"/>
        <w:rPr>
          <w:rFonts w:ascii="Quicksand" w:eastAsia="Quicksand" w:hAnsi="Quicksand" w:cs="Quicksand"/>
        </w:rPr>
      </w:pPr>
      <w:r>
        <w:rPr>
          <w:rFonts w:ascii="Quicksand" w:eastAsia="Quicksand" w:hAnsi="Quicksand" w:cs="Quicksand"/>
        </w:rPr>
        <w:t xml:space="preserve">En este sentido, las acciones desarrolladas para este componente incluyeron la modificación del formato de lista </w:t>
      </w:r>
      <w:r>
        <w:rPr>
          <w:rFonts w:ascii="Quicksand" w:eastAsia="Quicksand" w:hAnsi="Quicksand" w:cs="Quicksand"/>
        </w:rPr>
        <w:t xml:space="preserve">de chequeo para la mujer gestante, de manera que se asemejara más a un registro de historia clínica, pero que enlazara el parto y posparto en un solo registro, adaptado para el uso por parte de los auxiliares de enfermería (ver anexos). </w:t>
      </w:r>
    </w:p>
    <w:p w14:paraId="00000007" w14:textId="77777777" w:rsidR="007958CD" w:rsidRDefault="0065383D">
      <w:pPr>
        <w:spacing w:before="120" w:after="120"/>
        <w:jc w:val="both"/>
        <w:rPr>
          <w:rFonts w:ascii="Quicksand" w:eastAsia="Quicksand" w:hAnsi="Quicksand" w:cs="Quicksand"/>
        </w:rPr>
      </w:pPr>
      <w:r>
        <w:rPr>
          <w:rFonts w:ascii="Quicksand" w:eastAsia="Quicksand" w:hAnsi="Quicksand" w:cs="Quicksand"/>
        </w:rPr>
        <w:t>Por lo tanto, se a</w:t>
      </w:r>
      <w:r>
        <w:rPr>
          <w:rFonts w:ascii="Quicksand" w:eastAsia="Quicksand" w:hAnsi="Quicksand" w:cs="Quicksand"/>
        </w:rPr>
        <w:t>gruparon los eventos de gestación, parto y posparto pensando en la operatividad y capacidad resolutiva del auxiliar de enfermería en terreno. Estos agentes de salud deben aplicar este instrumento a las mujeres en estado de gestación y ante el hallazgo de c</w:t>
      </w:r>
      <w:r>
        <w:rPr>
          <w:rFonts w:ascii="Quicksand" w:eastAsia="Quicksand" w:hAnsi="Quicksand" w:cs="Quicksand"/>
        </w:rPr>
        <w:t>ualquier signo de riesgo deberán informar al hospital, a la Secretaría de Salud Municipal, y a la respectiva aseguradora de la paciente, de manera que se tomen las medidas necesarias para su pronto traslado y atención.</w:t>
      </w:r>
    </w:p>
    <w:p w14:paraId="00000008" w14:textId="77777777" w:rsidR="007958CD" w:rsidRDefault="0065383D">
      <w:pPr>
        <w:spacing w:before="120" w:after="120"/>
        <w:jc w:val="both"/>
        <w:rPr>
          <w:rFonts w:ascii="Quicksand" w:eastAsia="Quicksand" w:hAnsi="Quicksand" w:cs="Quicksand"/>
        </w:rPr>
      </w:pPr>
      <w:r>
        <w:rPr>
          <w:rFonts w:ascii="Quicksand" w:eastAsia="Quicksand" w:hAnsi="Quicksand" w:cs="Quicksand"/>
          <w:b/>
          <w:noProof/>
          <w:sz w:val="24"/>
          <w:szCs w:val="24"/>
        </w:rPr>
        <w:drawing>
          <wp:anchor distT="0" distB="0" distL="114300" distR="114300" simplePos="0" relativeHeight="251658240" behindDoc="0" locked="0" layoutInCell="1" hidden="0" allowOverlap="1">
            <wp:simplePos x="0" y="0"/>
            <wp:positionH relativeFrom="margin">
              <wp:posOffset>1510665</wp:posOffset>
            </wp:positionH>
            <wp:positionV relativeFrom="margin">
              <wp:posOffset>47715804</wp:posOffset>
            </wp:positionV>
            <wp:extent cx="2590800" cy="539115"/>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t="-14112" r="67306"/>
                    <a:stretch>
                      <a:fillRect/>
                    </a:stretch>
                  </pic:blipFill>
                  <pic:spPr>
                    <a:xfrm>
                      <a:off x="0" y="0"/>
                      <a:ext cx="2590800" cy="539115"/>
                    </a:xfrm>
                    <a:prstGeom prst="rect">
                      <a:avLst/>
                    </a:prstGeom>
                    <a:ln/>
                  </pic:spPr>
                </pic:pic>
              </a:graphicData>
            </a:graphic>
          </wp:anchor>
        </w:drawing>
      </w:r>
      <w:r>
        <w:rPr>
          <w:rFonts w:ascii="Quicksand" w:eastAsia="Quicksand" w:hAnsi="Quicksand" w:cs="Quicksand"/>
        </w:rPr>
        <w:t>Por otro lado, se realizó un proceso</w:t>
      </w:r>
      <w:r>
        <w:rPr>
          <w:rFonts w:ascii="Quicksand" w:eastAsia="Quicksand" w:hAnsi="Quicksand" w:cs="Quicksand"/>
        </w:rPr>
        <w:t xml:space="preserve"> de capacitación teórico-práctica a los auxiliares por parte de una ginecóloga y una pediatra, en atención de parto limpio y atención del recién nacido. Esta misma actividad se desarrolló en 2 comunidades (Santa Marta y Bogotá Cachivera) donde además se co</w:t>
      </w:r>
      <w:r>
        <w:rPr>
          <w:rFonts w:ascii="Quicksand" w:eastAsia="Quicksand" w:hAnsi="Quicksand" w:cs="Quicksand"/>
        </w:rPr>
        <w:t>mpartieron experiencias con las personas que atienden partos en las comunidades con miras a desarrollar recomendaciones para los cuidados de estas etapas adaptadas al contexto local, a partir de lo cual se desarrolló material educativo para ser usado por p</w:t>
      </w:r>
      <w:r>
        <w:rPr>
          <w:rFonts w:ascii="Quicksand" w:eastAsia="Quicksand" w:hAnsi="Quicksand" w:cs="Quicksand"/>
        </w:rPr>
        <w:t>arte del auxiliar durante sus visitas. El informe completo de la actividad y el folleto de recomendaciones se encuentran en los anexos. Además de las capacitaciones todos los auxiliares recibieron un kit para la atención de parto, que contiene todos los ut</w:t>
      </w:r>
      <w:r>
        <w:rPr>
          <w:rFonts w:ascii="Quicksand" w:eastAsia="Quicksand" w:hAnsi="Quicksand" w:cs="Quicksand"/>
        </w:rPr>
        <w:t>ensilios necesarios para la atención de parto de forma limpia en una comunidad.</w:t>
      </w:r>
    </w:p>
    <w:p w14:paraId="00000009" w14:textId="77777777" w:rsidR="007958CD" w:rsidRDefault="0065383D">
      <w:pPr>
        <w:spacing w:after="160"/>
        <w:jc w:val="both"/>
        <w:rPr>
          <w:rFonts w:ascii="Quicksand" w:eastAsia="Quicksand" w:hAnsi="Quicksand" w:cs="Quicksand"/>
        </w:rPr>
      </w:pPr>
      <w:r>
        <w:rPr>
          <w:rFonts w:ascii="Quicksand" w:eastAsia="Quicksand" w:hAnsi="Quicksand" w:cs="Quicksand"/>
        </w:rPr>
        <w:t>A la fecha se han captado 40 gestantes pertenecientes a 11 de las 18 comunidades del proyecto. El gráfico 17 muestra la distribución por comunidad. Como se evidencia en la gráf</w:t>
      </w:r>
      <w:r>
        <w:rPr>
          <w:rFonts w:ascii="Quicksand" w:eastAsia="Quicksand" w:hAnsi="Quicksand" w:cs="Quicksand"/>
        </w:rPr>
        <w:t xml:space="preserve">ica, las comunidades de Wacará y Macaquiño es donde se ha captado mayor número de gestantes y que igualmente son dos de las comunidades con más habitantes. </w:t>
      </w:r>
    </w:p>
    <w:p w14:paraId="0000000A" w14:textId="77777777" w:rsidR="007958CD" w:rsidRDefault="0065383D">
      <w:pPr>
        <w:jc w:val="center"/>
        <w:rPr>
          <w:rFonts w:ascii="Quicksand" w:eastAsia="Quicksand" w:hAnsi="Quicksand" w:cs="Quicksand"/>
          <w:color w:val="7F7F7F"/>
          <w:sz w:val="20"/>
          <w:szCs w:val="20"/>
        </w:rPr>
      </w:pPr>
      <w:r>
        <w:rPr>
          <w:rFonts w:ascii="Quicksand" w:eastAsia="Quicksand" w:hAnsi="Quicksand" w:cs="Quicksand"/>
          <w:color w:val="7F7F7F"/>
          <w:sz w:val="20"/>
          <w:szCs w:val="20"/>
        </w:rPr>
        <w:t>Gráfico 17: Proporción de mujeres gestantes captadas por comunidad. Zona suburbana, Mitú, Vaupés. F</w:t>
      </w:r>
      <w:r>
        <w:rPr>
          <w:rFonts w:ascii="Quicksand" w:eastAsia="Quicksand" w:hAnsi="Quicksand" w:cs="Quicksand"/>
          <w:color w:val="7F7F7F"/>
          <w:sz w:val="20"/>
          <w:szCs w:val="20"/>
        </w:rPr>
        <w:t>uente Sinergias, 2018.</w:t>
      </w:r>
    </w:p>
    <w:p w14:paraId="0000000B" w14:textId="77777777" w:rsidR="007958CD" w:rsidRDefault="0065383D">
      <w:pPr>
        <w:keepNext/>
        <w:spacing w:line="259" w:lineRule="auto"/>
        <w:jc w:val="center"/>
        <w:rPr>
          <w:rFonts w:ascii="Quicksand" w:eastAsia="Quicksand" w:hAnsi="Quicksand" w:cs="Quicksand"/>
        </w:rPr>
      </w:pPr>
      <w:r>
        <w:rPr>
          <w:rFonts w:ascii="Quicksand" w:eastAsia="Quicksand" w:hAnsi="Quicksand" w:cs="Quicksand"/>
          <w:noProof/>
        </w:rPr>
        <w:lastRenderedPageBreak/>
        <w:drawing>
          <wp:inline distT="0" distB="0" distL="0" distR="0">
            <wp:extent cx="5059743" cy="349924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059743" cy="3499245"/>
                    </a:xfrm>
                    <a:prstGeom prst="rect">
                      <a:avLst/>
                    </a:prstGeom>
                    <a:ln/>
                  </pic:spPr>
                </pic:pic>
              </a:graphicData>
            </a:graphic>
          </wp:inline>
        </w:drawing>
      </w:r>
    </w:p>
    <w:p w14:paraId="0000000C" w14:textId="77777777" w:rsidR="007958CD" w:rsidRDefault="007958CD">
      <w:pPr>
        <w:spacing w:after="160" w:line="259" w:lineRule="auto"/>
        <w:jc w:val="both"/>
        <w:rPr>
          <w:rFonts w:ascii="Quicksand" w:eastAsia="Quicksand" w:hAnsi="Quicksand" w:cs="Quicksand"/>
        </w:rPr>
      </w:pPr>
    </w:p>
    <w:p w14:paraId="0000000D" w14:textId="77777777" w:rsidR="007958CD" w:rsidRDefault="0065383D">
      <w:pPr>
        <w:spacing w:after="160" w:line="259" w:lineRule="auto"/>
        <w:jc w:val="both"/>
        <w:rPr>
          <w:rFonts w:ascii="Quicksand" w:eastAsia="Quicksand" w:hAnsi="Quicksand" w:cs="Quicksand"/>
        </w:rPr>
      </w:pPr>
      <w:r>
        <w:rPr>
          <w:rFonts w:ascii="Quicksand" w:eastAsia="Quicksand" w:hAnsi="Quicksand" w:cs="Quicksand"/>
        </w:rPr>
        <w:t>Se cuenta con datos completos de 38 gestantes, la edad promedio fue de 23 años (desviación estándar de 4,2 años), con un rango entre 17 y 36 años. La Tabla 12 muestra la distribución de las gestantes por punto de atención y por cu</w:t>
      </w:r>
      <w:r>
        <w:rPr>
          <w:rFonts w:ascii="Quicksand" w:eastAsia="Quicksand" w:hAnsi="Quicksand" w:cs="Quicksand"/>
        </w:rPr>
        <w:t xml:space="preserve">rso de vida. </w:t>
      </w:r>
    </w:p>
    <w:p w14:paraId="0000000E" w14:textId="77777777" w:rsidR="007958CD" w:rsidRDefault="0065383D">
      <w:pPr>
        <w:keepNext/>
        <w:jc w:val="center"/>
        <w:rPr>
          <w:rFonts w:ascii="Quicksand" w:eastAsia="Quicksand" w:hAnsi="Quicksand" w:cs="Quicksand"/>
          <w:color w:val="7F7F7F"/>
          <w:sz w:val="20"/>
          <w:szCs w:val="20"/>
        </w:rPr>
      </w:pPr>
      <w:r>
        <w:rPr>
          <w:rFonts w:ascii="Quicksand" w:eastAsia="Quicksand" w:hAnsi="Quicksand" w:cs="Quicksand"/>
          <w:color w:val="7F7F7F"/>
          <w:sz w:val="20"/>
          <w:szCs w:val="20"/>
        </w:rPr>
        <w:t>Tabla 12: Distribución por edad de las gestantes caracterizadas.</w:t>
      </w:r>
    </w:p>
    <w:tbl>
      <w:tblPr>
        <w:tblStyle w:val="a"/>
        <w:tblW w:w="8922" w:type="dxa"/>
        <w:jc w:val="center"/>
        <w:tblInd w:w="0" w:type="dxa"/>
        <w:tblBorders>
          <w:top w:val="single" w:sz="4" w:space="0" w:color="A6A6A6"/>
          <w:left w:val="single" w:sz="4" w:space="0" w:color="A6A6A6"/>
          <w:bottom w:val="single" w:sz="4" w:space="0" w:color="A6A6A6"/>
          <w:right w:val="single" w:sz="4" w:space="0" w:color="A6A6A6"/>
          <w:insideH w:val="nil"/>
          <w:insideV w:val="single" w:sz="4" w:space="0" w:color="A6A6A6"/>
        </w:tblBorders>
        <w:tblLayout w:type="fixed"/>
        <w:tblLook w:val="04A0" w:firstRow="1" w:lastRow="0" w:firstColumn="1" w:lastColumn="0" w:noHBand="0" w:noVBand="1"/>
      </w:tblPr>
      <w:tblGrid>
        <w:gridCol w:w="1555"/>
        <w:gridCol w:w="567"/>
        <w:gridCol w:w="708"/>
        <w:gridCol w:w="832"/>
        <w:gridCol w:w="444"/>
        <w:gridCol w:w="709"/>
        <w:gridCol w:w="709"/>
        <w:gridCol w:w="425"/>
        <w:gridCol w:w="567"/>
        <w:gridCol w:w="567"/>
        <w:gridCol w:w="567"/>
        <w:gridCol w:w="548"/>
        <w:gridCol w:w="724"/>
      </w:tblGrid>
      <w:tr w:rsidR="007958CD" w14:paraId="053C59A2" w14:textId="77777777" w:rsidTr="007958C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Borders>
              <w:top w:val="nil"/>
              <w:left w:val="nil"/>
              <w:bottom w:val="nil"/>
            </w:tcBorders>
            <w:shd w:val="clear" w:color="auto" w:fill="7030A0"/>
          </w:tcPr>
          <w:p w14:paraId="0000000F" w14:textId="77777777" w:rsidR="007958CD" w:rsidRDefault="0065383D">
            <w:pPr>
              <w:jc w:val="center"/>
              <w:rPr>
                <w:rFonts w:ascii="Quicksand" w:eastAsia="Quicksand" w:hAnsi="Quicksand" w:cs="Quicksand"/>
                <w:sz w:val="20"/>
                <w:szCs w:val="20"/>
              </w:rPr>
            </w:pPr>
            <w:r>
              <w:rPr>
                <w:rFonts w:ascii="Quicksand" w:eastAsia="Quicksand" w:hAnsi="Quicksand" w:cs="Quicksand"/>
                <w:b w:val="0"/>
                <w:sz w:val="20"/>
                <w:szCs w:val="20"/>
              </w:rPr>
              <w:t>Punto de atención</w:t>
            </w:r>
          </w:p>
        </w:tc>
        <w:tc>
          <w:tcPr>
            <w:tcW w:w="2107" w:type="dxa"/>
            <w:gridSpan w:val="3"/>
            <w:tcBorders>
              <w:top w:val="nil"/>
              <w:bottom w:val="nil"/>
            </w:tcBorders>
            <w:shd w:val="clear" w:color="auto" w:fill="7030A0"/>
          </w:tcPr>
          <w:p w14:paraId="00000010" w14:textId="77777777" w:rsidR="007958CD" w:rsidRDefault="0065383D">
            <w:pPr>
              <w:jc w:val="center"/>
              <w:cnfStyle w:val="100000000000" w:firstRow="1"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b w:val="0"/>
                <w:sz w:val="20"/>
                <w:szCs w:val="20"/>
              </w:rPr>
              <w:t>Adolescentes</w:t>
            </w:r>
          </w:p>
          <w:p w14:paraId="00000011" w14:textId="77777777" w:rsidR="007958CD" w:rsidRDefault="0065383D">
            <w:pPr>
              <w:jc w:val="center"/>
              <w:cnfStyle w:val="100000000000" w:firstRow="1"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b w:val="0"/>
                <w:sz w:val="20"/>
                <w:szCs w:val="20"/>
              </w:rPr>
              <w:t>(12 a 18 años)</w:t>
            </w:r>
          </w:p>
        </w:tc>
        <w:tc>
          <w:tcPr>
            <w:tcW w:w="1862" w:type="dxa"/>
            <w:gridSpan w:val="3"/>
            <w:tcBorders>
              <w:top w:val="nil"/>
              <w:bottom w:val="nil"/>
            </w:tcBorders>
            <w:shd w:val="clear" w:color="auto" w:fill="7030A0"/>
          </w:tcPr>
          <w:p w14:paraId="00000014" w14:textId="77777777" w:rsidR="007958CD" w:rsidRDefault="0065383D">
            <w:pPr>
              <w:jc w:val="center"/>
              <w:cnfStyle w:val="100000000000" w:firstRow="1"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b w:val="0"/>
                <w:sz w:val="20"/>
                <w:szCs w:val="20"/>
              </w:rPr>
              <w:t>Jóvenes</w:t>
            </w:r>
          </w:p>
          <w:p w14:paraId="00000015" w14:textId="77777777" w:rsidR="007958CD" w:rsidRDefault="0065383D">
            <w:pPr>
              <w:jc w:val="center"/>
              <w:cnfStyle w:val="100000000000" w:firstRow="1"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b w:val="0"/>
                <w:sz w:val="20"/>
                <w:szCs w:val="20"/>
              </w:rPr>
              <w:t>(19-26 años)</w:t>
            </w:r>
          </w:p>
        </w:tc>
        <w:tc>
          <w:tcPr>
            <w:tcW w:w="1559" w:type="dxa"/>
            <w:gridSpan w:val="3"/>
            <w:tcBorders>
              <w:top w:val="nil"/>
              <w:bottom w:val="nil"/>
            </w:tcBorders>
            <w:shd w:val="clear" w:color="auto" w:fill="7030A0"/>
          </w:tcPr>
          <w:p w14:paraId="00000018" w14:textId="77777777" w:rsidR="007958CD" w:rsidRDefault="0065383D">
            <w:pPr>
              <w:jc w:val="center"/>
              <w:cnfStyle w:val="100000000000" w:firstRow="1"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b w:val="0"/>
                <w:sz w:val="20"/>
                <w:szCs w:val="20"/>
              </w:rPr>
              <w:t>Adultas</w:t>
            </w:r>
          </w:p>
          <w:p w14:paraId="00000019" w14:textId="77777777" w:rsidR="007958CD" w:rsidRDefault="0065383D">
            <w:pPr>
              <w:jc w:val="center"/>
              <w:cnfStyle w:val="100000000000" w:firstRow="1"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b w:val="0"/>
                <w:sz w:val="20"/>
                <w:szCs w:val="20"/>
              </w:rPr>
              <w:t>(26-60 años)</w:t>
            </w:r>
          </w:p>
        </w:tc>
        <w:tc>
          <w:tcPr>
            <w:tcW w:w="1839" w:type="dxa"/>
            <w:gridSpan w:val="3"/>
            <w:tcBorders>
              <w:top w:val="nil"/>
              <w:bottom w:val="nil"/>
              <w:right w:val="nil"/>
            </w:tcBorders>
            <w:shd w:val="clear" w:color="auto" w:fill="7030A0"/>
          </w:tcPr>
          <w:p w14:paraId="0000001C" w14:textId="77777777" w:rsidR="007958CD" w:rsidRDefault="0065383D">
            <w:pPr>
              <w:jc w:val="center"/>
              <w:cnfStyle w:val="100000000000" w:firstRow="1"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b w:val="0"/>
                <w:sz w:val="20"/>
                <w:szCs w:val="20"/>
              </w:rPr>
              <w:t>Total</w:t>
            </w:r>
          </w:p>
        </w:tc>
      </w:tr>
      <w:tr w:rsidR="007958CD" w14:paraId="77474762" w14:textId="77777777" w:rsidTr="007958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D9D9D9"/>
          </w:tcPr>
          <w:p w14:paraId="0000001F" w14:textId="77777777" w:rsidR="007958CD" w:rsidRDefault="007958CD">
            <w:pPr>
              <w:rPr>
                <w:rFonts w:ascii="Quicksand" w:eastAsia="Quicksand" w:hAnsi="Quicksand" w:cs="Quicksand"/>
                <w:sz w:val="20"/>
                <w:szCs w:val="20"/>
              </w:rPr>
            </w:pPr>
          </w:p>
        </w:tc>
        <w:tc>
          <w:tcPr>
            <w:tcW w:w="567" w:type="dxa"/>
            <w:shd w:val="clear" w:color="auto" w:fill="D9D9D9"/>
          </w:tcPr>
          <w:p w14:paraId="00000020"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n</w:t>
            </w:r>
          </w:p>
        </w:tc>
        <w:tc>
          <w:tcPr>
            <w:tcW w:w="708" w:type="dxa"/>
            <w:shd w:val="clear" w:color="auto" w:fill="D9D9D9"/>
          </w:tcPr>
          <w:p w14:paraId="00000021"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 col</w:t>
            </w:r>
          </w:p>
        </w:tc>
        <w:tc>
          <w:tcPr>
            <w:tcW w:w="832" w:type="dxa"/>
            <w:shd w:val="clear" w:color="auto" w:fill="D9D9D9"/>
          </w:tcPr>
          <w:p w14:paraId="00000022"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 fila</w:t>
            </w:r>
          </w:p>
        </w:tc>
        <w:tc>
          <w:tcPr>
            <w:tcW w:w="444" w:type="dxa"/>
            <w:shd w:val="clear" w:color="auto" w:fill="D9D9D9"/>
          </w:tcPr>
          <w:p w14:paraId="00000023"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n</w:t>
            </w:r>
          </w:p>
        </w:tc>
        <w:tc>
          <w:tcPr>
            <w:tcW w:w="709" w:type="dxa"/>
            <w:shd w:val="clear" w:color="auto" w:fill="D9D9D9"/>
          </w:tcPr>
          <w:p w14:paraId="00000024"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 col</w:t>
            </w:r>
          </w:p>
        </w:tc>
        <w:tc>
          <w:tcPr>
            <w:tcW w:w="709" w:type="dxa"/>
            <w:shd w:val="clear" w:color="auto" w:fill="D9D9D9"/>
          </w:tcPr>
          <w:p w14:paraId="00000025"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 fila</w:t>
            </w:r>
          </w:p>
        </w:tc>
        <w:tc>
          <w:tcPr>
            <w:tcW w:w="425" w:type="dxa"/>
            <w:shd w:val="clear" w:color="auto" w:fill="D9D9D9"/>
          </w:tcPr>
          <w:p w14:paraId="00000026"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n</w:t>
            </w:r>
          </w:p>
        </w:tc>
        <w:tc>
          <w:tcPr>
            <w:tcW w:w="567" w:type="dxa"/>
            <w:shd w:val="clear" w:color="auto" w:fill="D9D9D9"/>
          </w:tcPr>
          <w:p w14:paraId="00000027"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 col</w:t>
            </w:r>
          </w:p>
        </w:tc>
        <w:tc>
          <w:tcPr>
            <w:tcW w:w="567" w:type="dxa"/>
            <w:shd w:val="clear" w:color="auto" w:fill="D9D9D9"/>
          </w:tcPr>
          <w:p w14:paraId="00000028"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 fila</w:t>
            </w:r>
          </w:p>
        </w:tc>
        <w:tc>
          <w:tcPr>
            <w:tcW w:w="567" w:type="dxa"/>
            <w:shd w:val="clear" w:color="auto" w:fill="D9D9D9"/>
          </w:tcPr>
          <w:p w14:paraId="00000029"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n</w:t>
            </w:r>
          </w:p>
        </w:tc>
        <w:tc>
          <w:tcPr>
            <w:tcW w:w="548" w:type="dxa"/>
            <w:shd w:val="clear" w:color="auto" w:fill="D9D9D9"/>
          </w:tcPr>
          <w:p w14:paraId="0000002A"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 col</w:t>
            </w:r>
          </w:p>
        </w:tc>
        <w:tc>
          <w:tcPr>
            <w:tcW w:w="724" w:type="dxa"/>
            <w:shd w:val="clear" w:color="auto" w:fill="D9D9D9"/>
          </w:tcPr>
          <w:p w14:paraId="0000002B"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 fila</w:t>
            </w:r>
          </w:p>
        </w:tc>
      </w:tr>
      <w:tr w:rsidR="007958CD" w14:paraId="048A68E6" w14:textId="77777777" w:rsidTr="007958CD">
        <w:trPr>
          <w:trHeight w:val="306"/>
          <w:jc w:val="center"/>
        </w:trPr>
        <w:tc>
          <w:tcPr>
            <w:cnfStyle w:val="001000000000" w:firstRow="0" w:lastRow="0" w:firstColumn="1" w:lastColumn="0" w:oddVBand="0" w:evenVBand="0" w:oddHBand="0" w:evenHBand="0" w:firstRowFirstColumn="0" w:firstRowLastColumn="0" w:lastRowFirstColumn="0" w:lastRowLastColumn="0"/>
            <w:tcW w:w="1555" w:type="dxa"/>
          </w:tcPr>
          <w:p w14:paraId="0000002C" w14:textId="77777777" w:rsidR="007958CD" w:rsidRDefault="0065383D">
            <w:pPr>
              <w:rPr>
                <w:rFonts w:ascii="Quicksand" w:eastAsia="Quicksand" w:hAnsi="Quicksand" w:cs="Quicksand"/>
                <w:sz w:val="20"/>
                <w:szCs w:val="20"/>
              </w:rPr>
            </w:pPr>
            <w:r>
              <w:rPr>
                <w:rFonts w:ascii="Quicksand" w:eastAsia="Quicksand" w:hAnsi="Quicksand" w:cs="Quicksand"/>
                <w:sz w:val="20"/>
                <w:szCs w:val="20"/>
              </w:rPr>
              <w:t>Macaquiño</w:t>
            </w:r>
          </w:p>
        </w:tc>
        <w:tc>
          <w:tcPr>
            <w:tcW w:w="567" w:type="dxa"/>
          </w:tcPr>
          <w:p w14:paraId="0000002D" w14:textId="77777777" w:rsidR="007958CD" w:rsidRDefault="0065383D">
            <w:pPr>
              <w:jc w:val="center"/>
              <w:cnfStyle w:val="000000000000" w:firstRow="0"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1</w:t>
            </w:r>
          </w:p>
        </w:tc>
        <w:tc>
          <w:tcPr>
            <w:tcW w:w="708" w:type="dxa"/>
          </w:tcPr>
          <w:p w14:paraId="0000002E" w14:textId="77777777" w:rsidR="007958CD" w:rsidRDefault="0065383D">
            <w:pPr>
              <w:jc w:val="center"/>
              <w:cnfStyle w:val="000000000000" w:firstRow="0"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16.7</w:t>
            </w:r>
          </w:p>
        </w:tc>
        <w:tc>
          <w:tcPr>
            <w:tcW w:w="832" w:type="dxa"/>
          </w:tcPr>
          <w:p w14:paraId="0000002F" w14:textId="77777777" w:rsidR="007958CD" w:rsidRDefault="0065383D">
            <w:pPr>
              <w:jc w:val="center"/>
              <w:cnfStyle w:val="000000000000" w:firstRow="0"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7.2</w:t>
            </w:r>
          </w:p>
        </w:tc>
        <w:tc>
          <w:tcPr>
            <w:tcW w:w="444" w:type="dxa"/>
          </w:tcPr>
          <w:p w14:paraId="00000030" w14:textId="77777777" w:rsidR="007958CD" w:rsidRDefault="0065383D">
            <w:pPr>
              <w:jc w:val="center"/>
              <w:cnfStyle w:val="000000000000" w:firstRow="0"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9</w:t>
            </w:r>
          </w:p>
        </w:tc>
        <w:tc>
          <w:tcPr>
            <w:tcW w:w="709" w:type="dxa"/>
          </w:tcPr>
          <w:p w14:paraId="00000031" w14:textId="77777777" w:rsidR="007958CD" w:rsidRDefault="0065383D">
            <w:pPr>
              <w:jc w:val="center"/>
              <w:cnfStyle w:val="000000000000" w:firstRow="0"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34.6</w:t>
            </w:r>
          </w:p>
        </w:tc>
        <w:tc>
          <w:tcPr>
            <w:tcW w:w="709" w:type="dxa"/>
          </w:tcPr>
          <w:p w14:paraId="00000032" w14:textId="77777777" w:rsidR="007958CD" w:rsidRDefault="0065383D">
            <w:pPr>
              <w:jc w:val="center"/>
              <w:cnfStyle w:val="000000000000" w:firstRow="0"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64.3</w:t>
            </w:r>
          </w:p>
        </w:tc>
        <w:tc>
          <w:tcPr>
            <w:tcW w:w="425" w:type="dxa"/>
          </w:tcPr>
          <w:p w14:paraId="00000033" w14:textId="77777777" w:rsidR="007958CD" w:rsidRDefault="0065383D">
            <w:pPr>
              <w:jc w:val="center"/>
              <w:cnfStyle w:val="000000000000" w:firstRow="0"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4</w:t>
            </w:r>
          </w:p>
        </w:tc>
        <w:tc>
          <w:tcPr>
            <w:tcW w:w="567" w:type="dxa"/>
          </w:tcPr>
          <w:p w14:paraId="00000034" w14:textId="77777777" w:rsidR="007958CD" w:rsidRDefault="0065383D">
            <w:pPr>
              <w:jc w:val="center"/>
              <w:cnfStyle w:val="000000000000" w:firstRow="0"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50</w:t>
            </w:r>
          </w:p>
        </w:tc>
        <w:tc>
          <w:tcPr>
            <w:tcW w:w="567" w:type="dxa"/>
          </w:tcPr>
          <w:p w14:paraId="00000035" w14:textId="77777777" w:rsidR="007958CD" w:rsidRDefault="0065383D">
            <w:pPr>
              <w:jc w:val="center"/>
              <w:cnfStyle w:val="000000000000" w:firstRow="0"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28.6</w:t>
            </w:r>
          </w:p>
        </w:tc>
        <w:tc>
          <w:tcPr>
            <w:tcW w:w="567" w:type="dxa"/>
          </w:tcPr>
          <w:p w14:paraId="00000036" w14:textId="77777777" w:rsidR="007958CD" w:rsidRDefault="0065383D">
            <w:pPr>
              <w:jc w:val="center"/>
              <w:cnfStyle w:val="000000000000" w:firstRow="0"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14</w:t>
            </w:r>
          </w:p>
        </w:tc>
        <w:tc>
          <w:tcPr>
            <w:tcW w:w="548" w:type="dxa"/>
          </w:tcPr>
          <w:p w14:paraId="00000037" w14:textId="77777777" w:rsidR="007958CD" w:rsidRDefault="0065383D">
            <w:pPr>
              <w:jc w:val="center"/>
              <w:cnfStyle w:val="000000000000" w:firstRow="0"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35</w:t>
            </w:r>
          </w:p>
        </w:tc>
        <w:tc>
          <w:tcPr>
            <w:tcW w:w="724" w:type="dxa"/>
          </w:tcPr>
          <w:p w14:paraId="00000038" w14:textId="77777777" w:rsidR="007958CD" w:rsidRDefault="0065383D">
            <w:pPr>
              <w:jc w:val="center"/>
              <w:cnfStyle w:val="000000000000" w:firstRow="0"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100</w:t>
            </w:r>
          </w:p>
        </w:tc>
      </w:tr>
      <w:tr w:rsidR="007958CD" w14:paraId="4CE7016B" w14:textId="77777777" w:rsidTr="007958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D9D9D9"/>
          </w:tcPr>
          <w:p w14:paraId="00000039" w14:textId="77777777" w:rsidR="007958CD" w:rsidRDefault="0065383D">
            <w:pPr>
              <w:rPr>
                <w:rFonts w:ascii="Quicksand" w:eastAsia="Quicksand" w:hAnsi="Quicksand" w:cs="Quicksand"/>
                <w:sz w:val="20"/>
                <w:szCs w:val="20"/>
              </w:rPr>
            </w:pPr>
            <w:r>
              <w:rPr>
                <w:rFonts w:ascii="Quicksand" w:eastAsia="Quicksand" w:hAnsi="Quicksand" w:cs="Quicksand"/>
                <w:sz w:val="20"/>
                <w:szCs w:val="20"/>
              </w:rPr>
              <w:t>Pueblo Nuevo</w:t>
            </w:r>
          </w:p>
        </w:tc>
        <w:tc>
          <w:tcPr>
            <w:tcW w:w="567" w:type="dxa"/>
            <w:shd w:val="clear" w:color="auto" w:fill="D9D9D9"/>
          </w:tcPr>
          <w:p w14:paraId="0000003A"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1</w:t>
            </w:r>
          </w:p>
        </w:tc>
        <w:tc>
          <w:tcPr>
            <w:tcW w:w="708" w:type="dxa"/>
            <w:shd w:val="clear" w:color="auto" w:fill="D9D9D9"/>
          </w:tcPr>
          <w:p w14:paraId="0000003B"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16.7</w:t>
            </w:r>
          </w:p>
        </w:tc>
        <w:tc>
          <w:tcPr>
            <w:tcW w:w="832" w:type="dxa"/>
            <w:shd w:val="clear" w:color="auto" w:fill="D9D9D9"/>
          </w:tcPr>
          <w:p w14:paraId="0000003C"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20</w:t>
            </w:r>
          </w:p>
        </w:tc>
        <w:tc>
          <w:tcPr>
            <w:tcW w:w="444" w:type="dxa"/>
            <w:shd w:val="clear" w:color="auto" w:fill="D9D9D9"/>
          </w:tcPr>
          <w:p w14:paraId="0000003D"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3</w:t>
            </w:r>
          </w:p>
        </w:tc>
        <w:tc>
          <w:tcPr>
            <w:tcW w:w="709" w:type="dxa"/>
            <w:shd w:val="clear" w:color="auto" w:fill="D9D9D9"/>
          </w:tcPr>
          <w:p w14:paraId="0000003E"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11.5</w:t>
            </w:r>
          </w:p>
        </w:tc>
        <w:tc>
          <w:tcPr>
            <w:tcW w:w="709" w:type="dxa"/>
            <w:shd w:val="clear" w:color="auto" w:fill="D9D9D9"/>
          </w:tcPr>
          <w:p w14:paraId="0000003F"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60</w:t>
            </w:r>
          </w:p>
        </w:tc>
        <w:tc>
          <w:tcPr>
            <w:tcW w:w="425" w:type="dxa"/>
            <w:shd w:val="clear" w:color="auto" w:fill="D9D9D9"/>
          </w:tcPr>
          <w:p w14:paraId="00000040"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1</w:t>
            </w:r>
          </w:p>
        </w:tc>
        <w:tc>
          <w:tcPr>
            <w:tcW w:w="567" w:type="dxa"/>
            <w:shd w:val="clear" w:color="auto" w:fill="D9D9D9"/>
          </w:tcPr>
          <w:p w14:paraId="00000041"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12.5</w:t>
            </w:r>
          </w:p>
        </w:tc>
        <w:tc>
          <w:tcPr>
            <w:tcW w:w="567" w:type="dxa"/>
            <w:shd w:val="clear" w:color="auto" w:fill="D9D9D9"/>
          </w:tcPr>
          <w:p w14:paraId="00000042"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20</w:t>
            </w:r>
          </w:p>
        </w:tc>
        <w:tc>
          <w:tcPr>
            <w:tcW w:w="567" w:type="dxa"/>
            <w:shd w:val="clear" w:color="auto" w:fill="D9D9D9"/>
          </w:tcPr>
          <w:p w14:paraId="00000043"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5</w:t>
            </w:r>
          </w:p>
        </w:tc>
        <w:tc>
          <w:tcPr>
            <w:tcW w:w="548" w:type="dxa"/>
            <w:shd w:val="clear" w:color="auto" w:fill="D9D9D9"/>
          </w:tcPr>
          <w:p w14:paraId="00000044"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12.5</w:t>
            </w:r>
          </w:p>
        </w:tc>
        <w:tc>
          <w:tcPr>
            <w:tcW w:w="724" w:type="dxa"/>
            <w:shd w:val="clear" w:color="auto" w:fill="D9D9D9"/>
          </w:tcPr>
          <w:p w14:paraId="00000045"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100</w:t>
            </w:r>
          </w:p>
        </w:tc>
      </w:tr>
      <w:tr w:rsidR="007958CD" w14:paraId="552E32BF" w14:textId="77777777" w:rsidTr="007958CD">
        <w:trPr>
          <w:jc w:val="center"/>
        </w:trPr>
        <w:tc>
          <w:tcPr>
            <w:cnfStyle w:val="001000000000" w:firstRow="0" w:lastRow="0" w:firstColumn="1" w:lastColumn="0" w:oddVBand="0" w:evenVBand="0" w:oddHBand="0" w:evenHBand="0" w:firstRowFirstColumn="0" w:firstRowLastColumn="0" w:lastRowFirstColumn="0" w:lastRowLastColumn="0"/>
            <w:tcW w:w="1555" w:type="dxa"/>
          </w:tcPr>
          <w:p w14:paraId="00000046" w14:textId="77777777" w:rsidR="007958CD" w:rsidRDefault="0065383D">
            <w:pPr>
              <w:rPr>
                <w:rFonts w:ascii="Quicksand" w:eastAsia="Quicksand" w:hAnsi="Quicksand" w:cs="Quicksand"/>
                <w:sz w:val="20"/>
                <w:szCs w:val="20"/>
              </w:rPr>
            </w:pPr>
            <w:r>
              <w:rPr>
                <w:rFonts w:ascii="Quicksand" w:eastAsia="Quicksand" w:hAnsi="Quicksand" w:cs="Quicksand"/>
                <w:sz w:val="20"/>
                <w:szCs w:val="20"/>
              </w:rPr>
              <w:t>Santa Marta</w:t>
            </w:r>
          </w:p>
        </w:tc>
        <w:tc>
          <w:tcPr>
            <w:tcW w:w="567" w:type="dxa"/>
          </w:tcPr>
          <w:p w14:paraId="00000047" w14:textId="77777777" w:rsidR="007958CD" w:rsidRDefault="0065383D">
            <w:pPr>
              <w:jc w:val="center"/>
              <w:cnfStyle w:val="000000000000" w:firstRow="0"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0</w:t>
            </w:r>
          </w:p>
        </w:tc>
        <w:tc>
          <w:tcPr>
            <w:tcW w:w="708" w:type="dxa"/>
          </w:tcPr>
          <w:p w14:paraId="00000048" w14:textId="77777777" w:rsidR="007958CD" w:rsidRDefault="0065383D">
            <w:pPr>
              <w:jc w:val="center"/>
              <w:cnfStyle w:val="000000000000" w:firstRow="0"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0</w:t>
            </w:r>
          </w:p>
        </w:tc>
        <w:tc>
          <w:tcPr>
            <w:tcW w:w="832" w:type="dxa"/>
          </w:tcPr>
          <w:p w14:paraId="00000049" w14:textId="77777777" w:rsidR="007958CD" w:rsidRDefault="0065383D">
            <w:pPr>
              <w:jc w:val="center"/>
              <w:cnfStyle w:val="000000000000" w:firstRow="0"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0</w:t>
            </w:r>
          </w:p>
        </w:tc>
        <w:tc>
          <w:tcPr>
            <w:tcW w:w="444" w:type="dxa"/>
          </w:tcPr>
          <w:p w14:paraId="0000004A" w14:textId="77777777" w:rsidR="007958CD" w:rsidRDefault="0065383D">
            <w:pPr>
              <w:jc w:val="center"/>
              <w:cnfStyle w:val="000000000000" w:firstRow="0"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7</w:t>
            </w:r>
          </w:p>
        </w:tc>
        <w:tc>
          <w:tcPr>
            <w:tcW w:w="709" w:type="dxa"/>
          </w:tcPr>
          <w:p w14:paraId="0000004B" w14:textId="77777777" w:rsidR="007958CD" w:rsidRDefault="0065383D">
            <w:pPr>
              <w:jc w:val="center"/>
              <w:cnfStyle w:val="000000000000" w:firstRow="0"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26.9</w:t>
            </w:r>
          </w:p>
        </w:tc>
        <w:tc>
          <w:tcPr>
            <w:tcW w:w="709" w:type="dxa"/>
          </w:tcPr>
          <w:p w14:paraId="0000004C" w14:textId="77777777" w:rsidR="007958CD" w:rsidRDefault="0065383D">
            <w:pPr>
              <w:jc w:val="center"/>
              <w:cnfStyle w:val="000000000000" w:firstRow="0"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87.5</w:t>
            </w:r>
          </w:p>
        </w:tc>
        <w:tc>
          <w:tcPr>
            <w:tcW w:w="425" w:type="dxa"/>
          </w:tcPr>
          <w:p w14:paraId="0000004D" w14:textId="77777777" w:rsidR="007958CD" w:rsidRDefault="0065383D">
            <w:pPr>
              <w:jc w:val="center"/>
              <w:cnfStyle w:val="000000000000" w:firstRow="0"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1</w:t>
            </w:r>
          </w:p>
        </w:tc>
        <w:tc>
          <w:tcPr>
            <w:tcW w:w="567" w:type="dxa"/>
          </w:tcPr>
          <w:p w14:paraId="0000004E" w14:textId="77777777" w:rsidR="007958CD" w:rsidRDefault="0065383D">
            <w:pPr>
              <w:jc w:val="center"/>
              <w:cnfStyle w:val="000000000000" w:firstRow="0"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12.5</w:t>
            </w:r>
          </w:p>
        </w:tc>
        <w:tc>
          <w:tcPr>
            <w:tcW w:w="567" w:type="dxa"/>
          </w:tcPr>
          <w:p w14:paraId="0000004F" w14:textId="77777777" w:rsidR="007958CD" w:rsidRDefault="0065383D">
            <w:pPr>
              <w:jc w:val="center"/>
              <w:cnfStyle w:val="000000000000" w:firstRow="0"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12.5</w:t>
            </w:r>
          </w:p>
        </w:tc>
        <w:tc>
          <w:tcPr>
            <w:tcW w:w="567" w:type="dxa"/>
          </w:tcPr>
          <w:p w14:paraId="00000050" w14:textId="77777777" w:rsidR="007958CD" w:rsidRDefault="0065383D">
            <w:pPr>
              <w:jc w:val="center"/>
              <w:cnfStyle w:val="000000000000" w:firstRow="0"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8</w:t>
            </w:r>
          </w:p>
        </w:tc>
        <w:tc>
          <w:tcPr>
            <w:tcW w:w="548" w:type="dxa"/>
          </w:tcPr>
          <w:p w14:paraId="00000051" w14:textId="77777777" w:rsidR="007958CD" w:rsidRDefault="0065383D">
            <w:pPr>
              <w:jc w:val="center"/>
              <w:cnfStyle w:val="000000000000" w:firstRow="0"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20</w:t>
            </w:r>
          </w:p>
        </w:tc>
        <w:tc>
          <w:tcPr>
            <w:tcW w:w="724" w:type="dxa"/>
          </w:tcPr>
          <w:p w14:paraId="00000052" w14:textId="77777777" w:rsidR="007958CD" w:rsidRDefault="0065383D">
            <w:pPr>
              <w:jc w:val="center"/>
              <w:cnfStyle w:val="000000000000" w:firstRow="0"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100</w:t>
            </w:r>
          </w:p>
        </w:tc>
      </w:tr>
      <w:tr w:rsidR="007958CD" w14:paraId="685DB129" w14:textId="77777777" w:rsidTr="007958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D9D9D9"/>
          </w:tcPr>
          <w:p w14:paraId="00000053" w14:textId="77777777" w:rsidR="007958CD" w:rsidRDefault="0065383D">
            <w:pPr>
              <w:rPr>
                <w:rFonts w:ascii="Quicksand" w:eastAsia="Quicksand" w:hAnsi="Quicksand" w:cs="Quicksand"/>
                <w:sz w:val="20"/>
                <w:szCs w:val="20"/>
              </w:rPr>
            </w:pPr>
            <w:r>
              <w:rPr>
                <w:rFonts w:ascii="Quicksand" w:eastAsia="Quicksand" w:hAnsi="Quicksand" w:cs="Quicksand"/>
                <w:sz w:val="20"/>
                <w:szCs w:val="20"/>
              </w:rPr>
              <w:t>Timbó</w:t>
            </w:r>
          </w:p>
        </w:tc>
        <w:tc>
          <w:tcPr>
            <w:tcW w:w="567" w:type="dxa"/>
            <w:shd w:val="clear" w:color="auto" w:fill="D9D9D9"/>
          </w:tcPr>
          <w:p w14:paraId="00000054"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1</w:t>
            </w:r>
          </w:p>
        </w:tc>
        <w:tc>
          <w:tcPr>
            <w:tcW w:w="708" w:type="dxa"/>
            <w:shd w:val="clear" w:color="auto" w:fill="D9D9D9"/>
          </w:tcPr>
          <w:p w14:paraId="00000055"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16.7</w:t>
            </w:r>
          </w:p>
        </w:tc>
        <w:tc>
          <w:tcPr>
            <w:tcW w:w="832" w:type="dxa"/>
            <w:shd w:val="clear" w:color="auto" w:fill="D9D9D9"/>
          </w:tcPr>
          <w:p w14:paraId="00000056"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20</w:t>
            </w:r>
          </w:p>
        </w:tc>
        <w:tc>
          <w:tcPr>
            <w:tcW w:w="444" w:type="dxa"/>
            <w:shd w:val="clear" w:color="auto" w:fill="D9D9D9"/>
          </w:tcPr>
          <w:p w14:paraId="00000057"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2</w:t>
            </w:r>
          </w:p>
        </w:tc>
        <w:tc>
          <w:tcPr>
            <w:tcW w:w="709" w:type="dxa"/>
            <w:shd w:val="clear" w:color="auto" w:fill="D9D9D9"/>
          </w:tcPr>
          <w:p w14:paraId="00000058"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7.6</w:t>
            </w:r>
          </w:p>
        </w:tc>
        <w:tc>
          <w:tcPr>
            <w:tcW w:w="709" w:type="dxa"/>
            <w:shd w:val="clear" w:color="auto" w:fill="D9D9D9"/>
          </w:tcPr>
          <w:p w14:paraId="00000059"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40</w:t>
            </w:r>
          </w:p>
        </w:tc>
        <w:tc>
          <w:tcPr>
            <w:tcW w:w="425" w:type="dxa"/>
            <w:shd w:val="clear" w:color="auto" w:fill="D9D9D9"/>
          </w:tcPr>
          <w:p w14:paraId="0000005A"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2</w:t>
            </w:r>
          </w:p>
        </w:tc>
        <w:tc>
          <w:tcPr>
            <w:tcW w:w="567" w:type="dxa"/>
            <w:shd w:val="clear" w:color="auto" w:fill="D9D9D9"/>
          </w:tcPr>
          <w:p w14:paraId="0000005B"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25</w:t>
            </w:r>
          </w:p>
        </w:tc>
        <w:tc>
          <w:tcPr>
            <w:tcW w:w="567" w:type="dxa"/>
            <w:shd w:val="clear" w:color="auto" w:fill="D9D9D9"/>
          </w:tcPr>
          <w:p w14:paraId="0000005C"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40</w:t>
            </w:r>
          </w:p>
        </w:tc>
        <w:tc>
          <w:tcPr>
            <w:tcW w:w="567" w:type="dxa"/>
            <w:shd w:val="clear" w:color="auto" w:fill="D9D9D9"/>
          </w:tcPr>
          <w:p w14:paraId="0000005D"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5</w:t>
            </w:r>
          </w:p>
        </w:tc>
        <w:tc>
          <w:tcPr>
            <w:tcW w:w="548" w:type="dxa"/>
            <w:shd w:val="clear" w:color="auto" w:fill="D9D9D9"/>
          </w:tcPr>
          <w:p w14:paraId="0000005E"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12.5</w:t>
            </w:r>
          </w:p>
        </w:tc>
        <w:tc>
          <w:tcPr>
            <w:tcW w:w="724" w:type="dxa"/>
            <w:shd w:val="clear" w:color="auto" w:fill="D9D9D9"/>
          </w:tcPr>
          <w:p w14:paraId="0000005F"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100</w:t>
            </w:r>
          </w:p>
        </w:tc>
      </w:tr>
      <w:tr w:rsidR="007958CD" w14:paraId="6D6261AF" w14:textId="77777777" w:rsidTr="007958CD">
        <w:trPr>
          <w:jc w:val="center"/>
        </w:trPr>
        <w:tc>
          <w:tcPr>
            <w:cnfStyle w:val="001000000000" w:firstRow="0" w:lastRow="0" w:firstColumn="1" w:lastColumn="0" w:oddVBand="0" w:evenVBand="0" w:oddHBand="0" w:evenHBand="0" w:firstRowFirstColumn="0" w:firstRowLastColumn="0" w:lastRowFirstColumn="0" w:lastRowLastColumn="0"/>
            <w:tcW w:w="1555" w:type="dxa"/>
          </w:tcPr>
          <w:p w14:paraId="00000060" w14:textId="77777777" w:rsidR="007958CD" w:rsidRDefault="0065383D">
            <w:pPr>
              <w:rPr>
                <w:rFonts w:ascii="Quicksand" w:eastAsia="Quicksand" w:hAnsi="Quicksand" w:cs="Quicksand"/>
                <w:sz w:val="20"/>
                <w:szCs w:val="20"/>
              </w:rPr>
            </w:pPr>
            <w:r>
              <w:rPr>
                <w:rFonts w:ascii="Quicksand" w:eastAsia="Quicksand" w:hAnsi="Quicksand" w:cs="Quicksand"/>
                <w:sz w:val="20"/>
                <w:szCs w:val="20"/>
              </w:rPr>
              <w:t>Wacará</w:t>
            </w:r>
          </w:p>
        </w:tc>
        <w:tc>
          <w:tcPr>
            <w:tcW w:w="567" w:type="dxa"/>
          </w:tcPr>
          <w:p w14:paraId="00000061" w14:textId="77777777" w:rsidR="007958CD" w:rsidRDefault="0065383D">
            <w:pPr>
              <w:jc w:val="center"/>
              <w:cnfStyle w:val="000000000000" w:firstRow="0"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3</w:t>
            </w:r>
          </w:p>
        </w:tc>
        <w:tc>
          <w:tcPr>
            <w:tcW w:w="708" w:type="dxa"/>
          </w:tcPr>
          <w:p w14:paraId="00000062" w14:textId="77777777" w:rsidR="007958CD" w:rsidRDefault="0065383D">
            <w:pPr>
              <w:jc w:val="center"/>
              <w:cnfStyle w:val="000000000000" w:firstRow="0"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50</w:t>
            </w:r>
          </w:p>
        </w:tc>
        <w:tc>
          <w:tcPr>
            <w:tcW w:w="832" w:type="dxa"/>
          </w:tcPr>
          <w:p w14:paraId="00000063" w14:textId="77777777" w:rsidR="007958CD" w:rsidRDefault="0065383D">
            <w:pPr>
              <w:jc w:val="center"/>
              <w:cnfStyle w:val="000000000000" w:firstRow="0"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37.5</w:t>
            </w:r>
          </w:p>
        </w:tc>
        <w:tc>
          <w:tcPr>
            <w:tcW w:w="444" w:type="dxa"/>
          </w:tcPr>
          <w:p w14:paraId="00000064" w14:textId="77777777" w:rsidR="007958CD" w:rsidRDefault="0065383D">
            <w:pPr>
              <w:jc w:val="center"/>
              <w:cnfStyle w:val="000000000000" w:firstRow="0"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5</w:t>
            </w:r>
          </w:p>
        </w:tc>
        <w:tc>
          <w:tcPr>
            <w:tcW w:w="709" w:type="dxa"/>
          </w:tcPr>
          <w:p w14:paraId="00000065" w14:textId="77777777" w:rsidR="007958CD" w:rsidRDefault="0065383D">
            <w:pPr>
              <w:jc w:val="center"/>
              <w:cnfStyle w:val="000000000000" w:firstRow="0"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19.2</w:t>
            </w:r>
          </w:p>
        </w:tc>
        <w:tc>
          <w:tcPr>
            <w:tcW w:w="709" w:type="dxa"/>
          </w:tcPr>
          <w:p w14:paraId="00000066" w14:textId="77777777" w:rsidR="007958CD" w:rsidRDefault="0065383D">
            <w:pPr>
              <w:jc w:val="center"/>
              <w:cnfStyle w:val="000000000000" w:firstRow="0"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62.5</w:t>
            </w:r>
          </w:p>
        </w:tc>
        <w:tc>
          <w:tcPr>
            <w:tcW w:w="425" w:type="dxa"/>
          </w:tcPr>
          <w:p w14:paraId="00000067" w14:textId="77777777" w:rsidR="007958CD" w:rsidRDefault="0065383D">
            <w:pPr>
              <w:jc w:val="center"/>
              <w:cnfStyle w:val="000000000000" w:firstRow="0"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0</w:t>
            </w:r>
          </w:p>
        </w:tc>
        <w:tc>
          <w:tcPr>
            <w:tcW w:w="567" w:type="dxa"/>
          </w:tcPr>
          <w:p w14:paraId="00000068" w14:textId="77777777" w:rsidR="007958CD" w:rsidRDefault="0065383D">
            <w:pPr>
              <w:jc w:val="center"/>
              <w:cnfStyle w:val="000000000000" w:firstRow="0"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0</w:t>
            </w:r>
          </w:p>
        </w:tc>
        <w:tc>
          <w:tcPr>
            <w:tcW w:w="567" w:type="dxa"/>
          </w:tcPr>
          <w:p w14:paraId="00000069" w14:textId="77777777" w:rsidR="007958CD" w:rsidRDefault="0065383D">
            <w:pPr>
              <w:jc w:val="center"/>
              <w:cnfStyle w:val="000000000000" w:firstRow="0"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0</w:t>
            </w:r>
          </w:p>
        </w:tc>
        <w:tc>
          <w:tcPr>
            <w:tcW w:w="567" w:type="dxa"/>
          </w:tcPr>
          <w:p w14:paraId="0000006A" w14:textId="77777777" w:rsidR="007958CD" w:rsidRDefault="0065383D">
            <w:pPr>
              <w:jc w:val="center"/>
              <w:cnfStyle w:val="000000000000" w:firstRow="0"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8</w:t>
            </w:r>
          </w:p>
        </w:tc>
        <w:tc>
          <w:tcPr>
            <w:tcW w:w="548" w:type="dxa"/>
          </w:tcPr>
          <w:p w14:paraId="0000006B" w14:textId="77777777" w:rsidR="007958CD" w:rsidRDefault="0065383D">
            <w:pPr>
              <w:jc w:val="center"/>
              <w:cnfStyle w:val="000000000000" w:firstRow="0"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20</w:t>
            </w:r>
          </w:p>
        </w:tc>
        <w:tc>
          <w:tcPr>
            <w:tcW w:w="724" w:type="dxa"/>
          </w:tcPr>
          <w:p w14:paraId="0000006C" w14:textId="77777777" w:rsidR="007958CD" w:rsidRDefault="0065383D">
            <w:pPr>
              <w:jc w:val="center"/>
              <w:cnfStyle w:val="000000000000" w:firstRow="0"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100</w:t>
            </w:r>
          </w:p>
        </w:tc>
      </w:tr>
      <w:tr w:rsidR="007958CD" w14:paraId="724A7713" w14:textId="77777777" w:rsidTr="007958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D9D9D9"/>
          </w:tcPr>
          <w:p w14:paraId="0000006D" w14:textId="77777777" w:rsidR="007958CD" w:rsidRDefault="0065383D">
            <w:pPr>
              <w:rPr>
                <w:rFonts w:ascii="Quicksand" w:eastAsia="Quicksand" w:hAnsi="Quicksand" w:cs="Quicksand"/>
                <w:sz w:val="20"/>
                <w:szCs w:val="20"/>
              </w:rPr>
            </w:pPr>
            <w:r>
              <w:rPr>
                <w:rFonts w:ascii="Quicksand" w:eastAsia="Quicksand" w:hAnsi="Quicksand" w:cs="Quicksand"/>
                <w:sz w:val="20"/>
                <w:szCs w:val="20"/>
              </w:rPr>
              <w:t>Total</w:t>
            </w:r>
          </w:p>
        </w:tc>
        <w:tc>
          <w:tcPr>
            <w:tcW w:w="567" w:type="dxa"/>
            <w:shd w:val="clear" w:color="auto" w:fill="D9D9D9"/>
          </w:tcPr>
          <w:p w14:paraId="0000006E"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b/>
                <w:sz w:val="20"/>
                <w:szCs w:val="20"/>
              </w:rPr>
            </w:pPr>
            <w:r>
              <w:rPr>
                <w:rFonts w:ascii="Quicksand" w:eastAsia="Quicksand" w:hAnsi="Quicksand" w:cs="Quicksand"/>
                <w:b/>
                <w:sz w:val="20"/>
                <w:szCs w:val="20"/>
              </w:rPr>
              <w:t>6</w:t>
            </w:r>
          </w:p>
        </w:tc>
        <w:tc>
          <w:tcPr>
            <w:tcW w:w="708" w:type="dxa"/>
            <w:shd w:val="clear" w:color="auto" w:fill="D9D9D9"/>
          </w:tcPr>
          <w:p w14:paraId="0000006F"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b/>
                <w:sz w:val="20"/>
                <w:szCs w:val="20"/>
              </w:rPr>
            </w:pPr>
            <w:r>
              <w:rPr>
                <w:rFonts w:ascii="Quicksand" w:eastAsia="Quicksand" w:hAnsi="Quicksand" w:cs="Quicksand"/>
                <w:b/>
                <w:sz w:val="20"/>
                <w:szCs w:val="20"/>
              </w:rPr>
              <w:t>100</w:t>
            </w:r>
          </w:p>
        </w:tc>
        <w:tc>
          <w:tcPr>
            <w:tcW w:w="832" w:type="dxa"/>
            <w:shd w:val="clear" w:color="auto" w:fill="D9D9D9"/>
          </w:tcPr>
          <w:p w14:paraId="00000070"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b/>
                <w:sz w:val="20"/>
                <w:szCs w:val="20"/>
              </w:rPr>
            </w:pPr>
            <w:r>
              <w:rPr>
                <w:rFonts w:ascii="Quicksand" w:eastAsia="Quicksand" w:hAnsi="Quicksand" w:cs="Quicksand"/>
                <w:b/>
                <w:sz w:val="20"/>
                <w:szCs w:val="20"/>
              </w:rPr>
              <w:t>15</w:t>
            </w:r>
          </w:p>
        </w:tc>
        <w:tc>
          <w:tcPr>
            <w:tcW w:w="444" w:type="dxa"/>
            <w:shd w:val="clear" w:color="auto" w:fill="D9D9D9"/>
          </w:tcPr>
          <w:p w14:paraId="00000071"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b/>
                <w:sz w:val="20"/>
                <w:szCs w:val="20"/>
              </w:rPr>
            </w:pPr>
            <w:r>
              <w:rPr>
                <w:rFonts w:ascii="Quicksand" w:eastAsia="Quicksand" w:hAnsi="Quicksand" w:cs="Quicksand"/>
                <w:b/>
                <w:sz w:val="20"/>
                <w:szCs w:val="20"/>
              </w:rPr>
              <w:t>26</w:t>
            </w:r>
          </w:p>
        </w:tc>
        <w:tc>
          <w:tcPr>
            <w:tcW w:w="709" w:type="dxa"/>
            <w:shd w:val="clear" w:color="auto" w:fill="D9D9D9"/>
          </w:tcPr>
          <w:p w14:paraId="00000072"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b/>
                <w:sz w:val="20"/>
                <w:szCs w:val="20"/>
              </w:rPr>
            </w:pPr>
            <w:r>
              <w:rPr>
                <w:rFonts w:ascii="Quicksand" w:eastAsia="Quicksand" w:hAnsi="Quicksand" w:cs="Quicksand"/>
                <w:b/>
                <w:sz w:val="20"/>
                <w:szCs w:val="20"/>
              </w:rPr>
              <w:t>100</w:t>
            </w:r>
          </w:p>
        </w:tc>
        <w:tc>
          <w:tcPr>
            <w:tcW w:w="709" w:type="dxa"/>
            <w:shd w:val="clear" w:color="auto" w:fill="D9D9D9"/>
          </w:tcPr>
          <w:p w14:paraId="00000073"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b/>
                <w:sz w:val="20"/>
                <w:szCs w:val="20"/>
              </w:rPr>
            </w:pPr>
            <w:r>
              <w:rPr>
                <w:rFonts w:ascii="Quicksand" w:eastAsia="Quicksand" w:hAnsi="Quicksand" w:cs="Quicksand"/>
                <w:b/>
                <w:sz w:val="20"/>
                <w:szCs w:val="20"/>
              </w:rPr>
              <w:t>65</w:t>
            </w:r>
          </w:p>
        </w:tc>
        <w:tc>
          <w:tcPr>
            <w:tcW w:w="425" w:type="dxa"/>
            <w:shd w:val="clear" w:color="auto" w:fill="D9D9D9"/>
          </w:tcPr>
          <w:p w14:paraId="00000074"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b/>
                <w:sz w:val="20"/>
                <w:szCs w:val="20"/>
              </w:rPr>
            </w:pPr>
            <w:r>
              <w:rPr>
                <w:rFonts w:ascii="Quicksand" w:eastAsia="Quicksand" w:hAnsi="Quicksand" w:cs="Quicksand"/>
                <w:b/>
                <w:sz w:val="20"/>
                <w:szCs w:val="20"/>
              </w:rPr>
              <w:t>8</w:t>
            </w:r>
          </w:p>
        </w:tc>
        <w:tc>
          <w:tcPr>
            <w:tcW w:w="567" w:type="dxa"/>
            <w:shd w:val="clear" w:color="auto" w:fill="D9D9D9"/>
          </w:tcPr>
          <w:p w14:paraId="00000075"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b/>
                <w:sz w:val="20"/>
                <w:szCs w:val="20"/>
              </w:rPr>
            </w:pPr>
            <w:r>
              <w:rPr>
                <w:rFonts w:ascii="Quicksand" w:eastAsia="Quicksand" w:hAnsi="Quicksand" w:cs="Quicksand"/>
                <w:b/>
                <w:sz w:val="20"/>
                <w:szCs w:val="20"/>
              </w:rPr>
              <w:t>100</w:t>
            </w:r>
          </w:p>
        </w:tc>
        <w:tc>
          <w:tcPr>
            <w:tcW w:w="567" w:type="dxa"/>
            <w:shd w:val="clear" w:color="auto" w:fill="D9D9D9"/>
          </w:tcPr>
          <w:p w14:paraId="00000076"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b/>
                <w:sz w:val="20"/>
                <w:szCs w:val="20"/>
              </w:rPr>
            </w:pPr>
            <w:r>
              <w:rPr>
                <w:rFonts w:ascii="Quicksand" w:eastAsia="Quicksand" w:hAnsi="Quicksand" w:cs="Quicksand"/>
                <w:b/>
                <w:sz w:val="20"/>
                <w:szCs w:val="20"/>
              </w:rPr>
              <w:t>20</w:t>
            </w:r>
          </w:p>
        </w:tc>
        <w:tc>
          <w:tcPr>
            <w:tcW w:w="567" w:type="dxa"/>
            <w:shd w:val="clear" w:color="auto" w:fill="D9D9D9"/>
          </w:tcPr>
          <w:p w14:paraId="00000077"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b/>
                <w:sz w:val="20"/>
                <w:szCs w:val="20"/>
              </w:rPr>
            </w:pPr>
            <w:r>
              <w:rPr>
                <w:rFonts w:ascii="Quicksand" w:eastAsia="Quicksand" w:hAnsi="Quicksand" w:cs="Quicksand"/>
                <w:b/>
                <w:sz w:val="20"/>
                <w:szCs w:val="20"/>
              </w:rPr>
              <w:t>40</w:t>
            </w:r>
          </w:p>
        </w:tc>
        <w:tc>
          <w:tcPr>
            <w:tcW w:w="548" w:type="dxa"/>
            <w:shd w:val="clear" w:color="auto" w:fill="D9D9D9"/>
          </w:tcPr>
          <w:p w14:paraId="00000078"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b/>
                <w:sz w:val="20"/>
                <w:szCs w:val="20"/>
              </w:rPr>
            </w:pPr>
            <w:r>
              <w:rPr>
                <w:rFonts w:ascii="Quicksand" w:eastAsia="Quicksand" w:hAnsi="Quicksand" w:cs="Quicksand"/>
                <w:b/>
                <w:sz w:val="20"/>
                <w:szCs w:val="20"/>
              </w:rPr>
              <w:t>100</w:t>
            </w:r>
          </w:p>
        </w:tc>
        <w:tc>
          <w:tcPr>
            <w:tcW w:w="724" w:type="dxa"/>
            <w:shd w:val="clear" w:color="auto" w:fill="D9D9D9"/>
          </w:tcPr>
          <w:p w14:paraId="00000079"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b/>
                <w:sz w:val="20"/>
                <w:szCs w:val="20"/>
              </w:rPr>
            </w:pPr>
            <w:r>
              <w:rPr>
                <w:rFonts w:ascii="Quicksand" w:eastAsia="Quicksand" w:hAnsi="Quicksand" w:cs="Quicksand"/>
                <w:b/>
                <w:sz w:val="20"/>
                <w:szCs w:val="20"/>
              </w:rPr>
              <w:t>100</w:t>
            </w:r>
          </w:p>
        </w:tc>
      </w:tr>
    </w:tbl>
    <w:p w14:paraId="0000007A" w14:textId="77777777" w:rsidR="007958CD" w:rsidRDefault="0065383D">
      <w:pPr>
        <w:spacing w:after="160" w:line="259" w:lineRule="auto"/>
        <w:jc w:val="center"/>
        <w:rPr>
          <w:rFonts w:ascii="Quicksand" w:eastAsia="Quicksand" w:hAnsi="Quicksand" w:cs="Quicksand"/>
          <w:color w:val="767171"/>
          <w:sz w:val="18"/>
          <w:szCs w:val="18"/>
        </w:rPr>
      </w:pPr>
      <w:r>
        <w:rPr>
          <w:rFonts w:ascii="Quicksand" w:eastAsia="Quicksand" w:hAnsi="Quicksand" w:cs="Quicksand"/>
          <w:color w:val="767171"/>
          <w:sz w:val="18"/>
          <w:szCs w:val="18"/>
        </w:rPr>
        <w:t>Fuente: Sinergias 2018</w:t>
      </w:r>
    </w:p>
    <w:p w14:paraId="0000007B" w14:textId="77777777" w:rsidR="007958CD" w:rsidRDefault="0065383D">
      <w:pPr>
        <w:spacing w:after="160"/>
        <w:jc w:val="both"/>
        <w:rPr>
          <w:rFonts w:ascii="Quicksand" w:eastAsia="Quicksand" w:hAnsi="Quicksand" w:cs="Quicksand"/>
        </w:rPr>
      </w:pPr>
      <w:r>
        <w:rPr>
          <w:rFonts w:ascii="Quicksand" w:eastAsia="Quicksand" w:hAnsi="Quicksand" w:cs="Quicksand"/>
        </w:rPr>
        <w:t>Como se observa en la tabla, el 65% de las gestantes se encuentran en curso de vida “Jóvenes” es decir que están entre los 19 y 26 años, seguidas por las adultas, que para nuestro caso van de 27 a 36 años. Hasta la fecha no se han encontrado gestantes meno</w:t>
      </w:r>
      <w:r>
        <w:rPr>
          <w:rFonts w:ascii="Quicksand" w:eastAsia="Quicksand" w:hAnsi="Quicksand" w:cs="Quicksand"/>
        </w:rPr>
        <w:t xml:space="preserve">res de 17 años y únicamente se encontró una mayor de 35 años. El hecho de no tener madres adolescentes disminuye la posibilidad de complicaciones durante la gestación, el parto y para el recién nacido. </w:t>
      </w:r>
    </w:p>
    <w:p w14:paraId="0000007C" w14:textId="77777777" w:rsidR="007958CD" w:rsidRDefault="0065383D">
      <w:pPr>
        <w:jc w:val="both"/>
        <w:rPr>
          <w:rFonts w:ascii="Quicksand" w:eastAsia="Quicksand" w:hAnsi="Quicksand" w:cs="Quicksand"/>
        </w:rPr>
      </w:pPr>
      <w:r>
        <w:rPr>
          <w:rFonts w:ascii="Quicksand" w:eastAsia="Quicksand" w:hAnsi="Quicksand" w:cs="Quicksand"/>
        </w:rPr>
        <w:t>Todas las gestantes recibieron por lo menos un contro</w:t>
      </w:r>
      <w:r>
        <w:rPr>
          <w:rFonts w:ascii="Quicksand" w:eastAsia="Quicksand" w:hAnsi="Quicksand" w:cs="Quicksand"/>
        </w:rPr>
        <w:t xml:space="preserve">l por parte del auxiliar de enfermería de su zona y el 55,3% recibieron por lo menos una valoración en el hospital. El rango de asistencia a los controles prenatales en el hospital estuvo </w:t>
      </w:r>
      <w:r>
        <w:rPr>
          <w:rFonts w:ascii="Quicksand" w:eastAsia="Quicksand" w:hAnsi="Quicksand" w:cs="Quicksand"/>
        </w:rPr>
        <w:lastRenderedPageBreak/>
        <w:t>entre 1 y 10, con una media de 2,5 controles. De la misma forma, los</w:t>
      </w:r>
      <w:r>
        <w:rPr>
          <w:rFonts w:ascii="Quicksand" w:eastAsia="Quicksand" w:hAnsi="Quicksand" w:cs="Quicksand"/>
        </w:rPr>
        <w:t xml:space="preserve"> seguimientos por auxiliar oscilaron entre 1 y 4, con media de 1,8. De la misma forma, el 44% de las embarazadas han sido vistas por el Payé.</w:t>
      </w:r>
    </w:p>
    <w:p w14:paraId="0000007D" w14:textId="77777777" w:rsidR="007958CD" w:rsidRDefault="007958CD">
      <w:pPr>
        <w:jc w:val="both"/>
        <w:rPr>
          <w:rFonts w:ascii="Quicksand" w:eastAsia="Quicksand" w:hAnsi="Quicksand" w:cs="Quicksand"/>
        </w:rPr>
      </w:pPr>
    </w:p>
    <w:p w14:paraId="0000007E" w14:textId="77777777" w:rsidR="007958CD" w:rsidRDefault="0065383D">
      <w:pPr>
        <w:spacing w:after="160"/>
        <w:jc w:val="both"/>
        <w:rPr>
          <w:rFonts w:ascii="Quicksand" w:eastAsia="Quicksand" w:hAnsi="Quicksand" w:cs="Quicksand"/>
        </w:rPr>
      </w:pPr>
      <w:r>
        <w:rPr>
          <w:rFonts w:ascii="Quicksand" w:eastAsia="Quicksand" w:hAnsi="Quicksand" w:cs="Quicksand"/>
        </w:rPr>
        <w:t xml:space="preserve">Por otro lado, de las 25 gestantes que a la fecha cuentan con seguimiento, el 12% (3) tuvieron su primer control </w:t>
      </w:r>
      <w:r>
        <w:rPr>
          <w:rFonts w:ascii="Quicksand" w:eastAsia="Quicksand" w:hAnsi="Quicksand" w:cs="Quicksand"/>
        </w:rPr>
        <w:t>antes de la semana 12; el 56% (14) de ellas lo tuvo antes de la semana 24, el 28% (7) antes de la semana 36 y el 4% (1) después de la semana 36.</w:t>
      </w:r>
    </w:p>
    <w:p w14:paraId="0000007F" w14:textId="77777777" w:rsidR="007958CD" w:rsidRDefault="0065383D">
      <w:pPr>
        <w:spacing w:after="160"/>
        <w:jc w:val="both"/>
        <w:rPr>
          <w:rFonts w:ascii="Quicksand" w:eastAsia="Quicksand" w:hAnsi="Quicksand" w:cs="Quicksand"/>
        </w:rPr>
      </w:pPr>
      <w:r>
        <w:rPr>
          <w:rFonts w:ascii="Quicksand" w:eastAsia="Quicksand" w:hAnsi="Quicksand" w:cs="Quicksand"/>
        </w:rPr>
        <w:t>En cuanto a antecedentes obstétricos, ninguna de las gestantes se identificó con antecedentes patológicos, aunq</w:t>
      </w:r>
      <w:r>
        <w:rPr>
          <w:rFonts w:ascii="Quicksand" w:eastAsia="Quicksand" w:hAnsi="Quicksand" w:cs="Quicksand"/>
        </w:rPr>
        <w:t>ue el 36% refiere haber consultado por signos de alarma y el 24% (6) ha sido remitida a las instituciones de salud. Se identificó únicamente una gestante con Rh negativo, la cual fue valorada en el hospital.</w:t>
      </w:r>
    </w:p>
    <w:p w14:paraId="00000080" w14:textId="77777777" w:rsidR="007958CD" w:rsidRDefault="0065383D">
      <w:pPr>
        <w:spacing w:after="160"/>
        <w:jc w:val="both"/>
        <w:rPr>
          <w:rFonts w:ascii="Quicksand" w:eastAsia="Quicksand" w:hAnsi="Quicksand" w:cs="Quicksand"/>
        </w:rPr>
      </w:pPr>
      <w:r>
        <w:rPr>
          <w:rFonts w:ascii="Quicksand" w:eastAsia="Quicksand" w:hAnsi="Quicksand" w:cs="Quicksand"/>
        </w:rPr>
        <w:t>Las gestantes caracterizadas han tenido en prome</w:t>
      </w:r>
      <w:r>
        <w:rPr>
          <w:rFonts w:ascii="Quicksand" w:eastAsia="Quicksand" w:hAnsi="Quicksand" w:cs="Quicksand"/>
        </w:rPr>
        <w:t xml:space="preserve">dio 2.5 gestaciones, con un rango que va de 1 a 6 gestaciones. Una </w:t>
      </w:r>
      <w:proofErr w:type="gramStart"/>
      <w:r>
        <w:rPr>
          <w:rFonts w:ascii="Quicksand" w:eastAsia="Quicksand" w:hAnsi="Quicksand" w:cs="Quicksand"/>
        </w:rPr>
        <w:t>tercera partes</w:t>
      </w:r>
      <w:proofErr w:type="gramEnd"/>
      <w:r>
        <w:rPr>
          <w:rFonts w:ascii="Quicksand" w:eastAsia="Quicksand" w:hAnsi="Quicksand" w:cs="Quicksand"/>
        </w:rPr>
        <w:t xml:space="preserve"> de las gestantes se encontraba en su primera gestación y el 7,9% se encontraba en su sexta gestación. (Tabla 13)</w:t>
      </w:r>
    </w:p>
    <w:p w14:paraId="00000081" w14:textId="77777777" w:rsidR="007958CD" w:rsidRDefault="0065383D">
      <w:pPr>
        <w:keepNext/>
        <w:jc w:val="center"/>
        <w:rPr>
          <w:rFonts w:ascii="Quicksand" w:eastAsia="Quicksand" w:hAnsi="Quicksand" w:cs="Quicksand"/>
          <w:color w:val="7F7F7F"/>
          <w:sz w:val="20"/>
          <w:szCs w:val="20"/>
        </w:rPr>
      </w:pPr>
      <w:r>
        <w:rPr>
          <w:rFonts w:ascii="Quicksand" w:eastAsia="Quicksand" w:hAnsi="Quicksand" w:cs="Quicksand"/>
          <w:color w:val="7F7F7F"/>
          <w:sz w:val="20"/>
          <w:szCs w:val="20"/>
        </w:rPr>
        <w:t>Tabla 13: Número de gestaciones par las 38 gestantes caracterizadas en la zona suburbana de Mitú, 2017-2018.</w:t>
      </w:r>
    </w:p>
    <w:tbl>
      <w:tblPr>
        <w:tblStyle w:val="a0"/>
        <w:tblW w:w="4390" w:type="dxa"/>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980"/>
        <w:gridCol w:w="850"/>
        <w:gridCol w:w="1560"/>
      </w:tblGrid>
      <w:tr w:rsidR="007958CD" w14:paraId="2DC70186" w14:textId="77777777" w:rsidTr="007958C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Borders>
              <w:top w:val="nil"/>
              <w:left w:val="nil"/>
              <w:bottom w:val="nil"/>
            </w:tcBorders>
            <w:shd w:val="clear" w:color="auto" w:fill="7030A0"/>
          </w:tcPr>
          <w:p w14:paraId="00000082" w14:textId="77777777" w:rsidR="007958CD" w:rsidRDefault="0065383D">
            <w:pPr>
              <w:jc w:val="center"/>
              <w:rPr>
                <w:rFonts w:ascii="Quicksand" w:eastAsia="Quicksand" w:hAnsi="Quicksand" w:cs="Quicksand"/>
                <w:sz w:val="20"/>
                <w:szCs w:val="20"/>
              </w:rPr>
            </w:pPr>
            <w:r>
              <w:rPr>
                <w:rFonts w:ascii="Quicksand" w:eastAsia="Quicksand" w:hAnsi="Quicksand" w:cs="Quicksand"/>
                <w:b w:val="0"/>
                <w:sz w:val="20"/>
                <w:szCs w:val="20"/>
              </w:rPr>
              <w:t>Número de gestaciones</w:t>
            </w:r>
          </w:p>
        </w:tc>
        <w:tc>
          <w:tcPr>
            <w:tcW w:w="850" w:type="dxa"/>
            <w:tcBorders>
              <w:top w:val="nil"/>
              <w:bottom w:val="nil"/>
            </w:tcBorders>
            <w:shd w:val="clear" w:color="auto" w:fill="7030A0"/>
          </w:tcPr>
          <w:p w14:paraId="00000083" w14:textId="77777777" w:rsidR="007958CD" w:rsidRDefault="0065383D">
            <w:pPr>
              <w:jc w:val="center"/>
              <w:cnfStyle w:val="100000000000" w:firstRow="1"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b w:val="0"/>
                <w:sz w:val="20"/>
                <w:szCs w:val="20"/>
              </w:rPr>
              <w:t>n</w:t>
            </w:r>
          </w:p>
        </w:tc>
        <w:tc>
          <w:tcPr>
            <w:tcW w:w="1560" w:type="dxa"/>
            <w:tcBorders>
              <w:top w:val="nil"/>
              <w:bottom w:val="nil"/>
              <w:right w:val="nil"/>
            </w:tcBorders>
            <w:shd w:val="clear" w:color="auto" w:fill="7030A0"/>
          </w:tcPr>
          <w:p w14:paraId="00000084" w14:textId="77777777" w:rsidR="007958CD" w:rsidRDefault="0065383D">
            <w:pPr>
              <w:jc w:val="center"/>
              <w:cnfStyle w:val="100000000000" w:firstRow="1"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b w:val="0"/>
                <w:sz w:val="20"/>
                <w:szCs w:val="20"/>
              </w:rPr>
              <w:t>%</w:t>
            </w:r>
          </w:p>
        </w:tc>
      </w:tr>
      <w:tr w:rsidR="007958CD" w14:paraId="469241A1" w14:textId="77777777" w:rsidTr="007958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D9D9D9"/>
          </w:tcPr>
          <w:p w14:paraId="00000085" w14:textId="77777777" w:rsidR="007958CD" w:rsidRDefault="0065383D">
            <w:pPr>
              <w:jc w:val="center"/>
              <w:rPr>
                <w:rFonts w:ascii="Quicksand" w:eastAsia="Quicksand" w:hAnsi="Quicksand" w:cs="Quicksand"/>
                <w:sz w:val="20"/>
                <w:szCs w:val="20"/>
              </w:rPr>
            </w:pPr>
            <w:r>
              <w:rPr>
                <w:rFonts w:ascii="Quicksand" w:eastAsia="Quicksand" w:hAnsi="Quicksand" w:cs="Quicksand"/>
                <w:b w:val="0"/>
                <w:sz w:val="20"/>
                <w:szCs w:val="20"/>
              </w:rPr>
              <w:t>1</w:t>
            </w:r>
          </w:p>
        </w:tc>
        <w:tc>
          <w:tcPr>
            <w:tcW w:w="850" w:type="dxa"/>
            <w:shd w:val="clear" w:color="auto" w:fill="D9D9D9"/>
          </w:tcPr>
          <w:p w14:paraId="00000086"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13</w:t>
            </w:r>
          </w:p>
        </w:tc>
        <w:tc>
          <w:tcPr>
            <w:tcW w:w="1560" w:type="dxa"/>
            <w:shd w:val="clear" w:color="auto" w:fill="D9D9D9"/>
          </w:tcPr>
          <w:p w14:paraId="00000087"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34.21</w:t>
            </w:r>
          </w:p>
        </w:tc>
      </w:tr>
      <w:tr w:rsidR="007958CD" w14:paraId="73EC900E" w14:textId="77777777" w:rsidTr="007958CD">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00000088" w14:textId="77777777" w:rsidR="007958CD" w:rsidRDefault="0065383D">
            <w:pPr>
              <w:jc w:val="center"/>
              <w:rPr>
                <w:rFonts w:ascii="Quicksand" w:eastAsia="Quicksand" w:hAnsi="Quicksand" w:cs="Quicksand"/>
                <w:sz w:val="20"/>
                <w:szCs w:val="20"/>
              </w:rPr>
            </w:pPr>
            <w:r>
              <w:rPr>
                <w:rFonts w:ascii="Quicksand" w:eastAsia="Quicksand" w:hAnsi="Quicksand" w:cs="Quicksand"/>
                <w:b w:val="0"/>
                <w:sz w:val="20"/>
                <w:szCs w:val="20"/>
              </w:rPr>
              <w:t>2</w:t>
            </w:r>
          </w:p>
        </w:tc>
        <w:tc>
          <w:tcPr>
            <w:tcW w:w="850" w:type="dxa"/>
          </w:tcPr>
          <w:p w14:paraId="00000089" w14:textId="77777777" w:rsidR="007958CD" w:rsidRDefault="0065383D">
            <w:pPr>
              <w:jc w:val="center"/>
              <w:cnfStyle w:val="000000000000" w:firstRow="0"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9</w:t>
            </w:r>
          </w:p>
        </w:tc>
        <w:tc>
          <w:tcPr>
            <w:tcW w:w="1560" w:type="dxa"/>
          </w:tcPr>
          <w:p w14:paraId="0000008A" w14:textId="77777777" w:rsidR="007958CD" w:rsidRDefault="0065383D">
            <w:pPr>
              <w:jc w:val="center"/>
              <w:cnfStyle w:val="000000000000" w:firstRow="0"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23.68</w:t>
            </w:r>
          </w:p>
        </w:tc>
      </w:tr>
      <w:tr w:rsidR="007958CD" w14:paraId="555F6FBB" w14:textId="77777777" w:rsidTr="007958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D9D9D9"/>
          </w:tcPr>
          <w:p w14:paraId="0000008B" w14:textId="77777777" w:rsidR="007958CD" w:rsidRDefault="0065383D">
            <w:pPr>
              <w:jc w:val="center"/>
              <w:rPr>
                <w:rFonts w:ascii="Quicksand" w:eastAsia="Quicksand" w:hAnsi="Quicksand" w:cs="Quicksand"/>
                <w:sz w:val="20"/>
                <w:szCs w:val="20"/>
              </w:rPr>
            </w:pPr>
            <w:r>
              <w:rPr>
                <w:rFonts w:ascii="Quicksand" w:eastAsia="Quicksand" w:hAnsi="Quicksand" w:cs="Quicksand"/>
                <w:b w:val="0"/>
                <w:sz w:val="20"/>
                <w:szCs w:val="20"/>
              </w:rPr>
              <w:t>3</w:t>
            </w:r>
          </w:p>
        </w:tc>
        <w:tc>
          <w:tcPr>
            <w:tcW w:w="850" w:type="dxa"/>
            <w:shd w:val="clear" w:color="auto" w:fill="D9D9D9"/>
          </w:tcPr>
          <w:p w14:paraId="0000008C"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6</w:t>
            </w:r>
          </w:p>
        </w:tc>
        <w:tc>
          <w:tcPr>
            <w:tcW w:w="1560" w:type="dxa"/>
            <w:shd w:val="clear" w:color="auto" w:fill="D9D9D9"/>
          </w:tcPr>
          <w:p w14:paraId="0000008D"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15.79</w:t>
            </w:r>
          </w:p>
        </w:tc>
      </w:tr>
      <w:tr w:rsidR="007958CD" w14:paraId="494E4282" w14:textId="77777777" w:rsidTr="007958CD">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0000008E" w14:textId="77777777" w:rsidR="007958CD" w:rsidRDefault="0065383D">
            <w:pPr>
              <w:jc w:val="center"/>
              <w:rPr>
                <w:rFonts w:ascii="Quicksand" w:eastAsia="Quicksand" w:hAnsi="Quicksand" w:cs="Quicksand"/>
                <w:sz w:val="20"/>
                <w:szCs w:val="20"/>
              </w:rPr>
            </w:pPr>
            <w:r>
              <w:rPr>
                <w:rFonts w:ascii="Quicksand" w:eastAsia="Quicksand" w:hAnsi="Quicksand" w:cs="Quicksand"/>
                <w:b w:val="0"/>
                <w:sz w:val="20"/>
                <w:szCs w:val="20"/>
              </w:rPr>
              <w:t>4</w:t>
            </w:r>
          </w:p>
        </w:tc>
        <w:tc>
          <w:tcPr>
            <w:tcW w:w="850" w:type="dxa"/>
          </w:tcPr>
          <w:p w14:paraId="0000008F" w14:textId="77777777" w:rsidR="007958CD" w:rsidRDefault="0065383D">
            <w:pPr>
              <w:jc w:val="center"/>
              <w:cnfStyle w:val="000000000000" w:firstRow="0"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6</w:t>
            </w:r>
          </w:p>
        </w:tc>
        <w:tc>
          <w:tcPr>
            <w:tcW w:w="1560" w:type="dxa"/>
          </w:tcPr>
          <w:p w14:paraId="00000090" w14:textId="77777777" w:rsidR="007958CD" w:rsidRDefault="0065383D">
            <w:pPr>
              <w:jc w:val="center"/>
              <w:cnfStyle w:val="000000000000" w:firstRow="0"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15.79</w:t>
            </w:r>
          </w:p>
        </w:tc>
      </w:tr>
      <w:tr w:rsidR="007958CD" w14:paraId="5A5A4C71" w14:textId="77777777" w:rsidTr="007958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D9D9D9"/>
          </w:tcPr>
          <w:p w14:paraId="00000091" w14:textId="77777777" w:rsidR="007958CD" w:rsidRDefault="0065383D">
            <w:pPr>
              <w:jc w:val="center"/>
              <w:rPr>
                <w:rFonts w:ascii="Quicksand" w:eastAsia="Quicksand" w:hAnsi="Quicksand" w:cs="Quicksand"/>
                <w:sz w:val="20"/>
                <w:szCs w:val="20"/>
              </w:rPr>
            </w:pPr>
            <w:r>
              <w:rPr>
                <w:rFonts w:ascii="Quicksand" w:eastAsia="Quicksand" w:hAnsi="Quicksand" w:cs="Quicksand"/>
                <w:b w:val="0"/>
                <w:sz w:val="20"/>
                <w:szCs w:val="20"/>
              </w:rPr>
              <w:t>5</w:t>
            </w:r>
          </w:p>
        </w:tc>
        <w:tc>
          <w:tcPr>
            <w:tcW w:w="850" w:type="dxa"/>
            <w:shd w:val="clear" w:color="auto" w:fill="D9D9D9"/>
          </w:tcPr>
          <w:p w14:paraId="00000092"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1</w:t>
            </w:r>
          </w:p>
        </w:tc>
        <w:tc>
          <w:tcPr>
            <w:tcW w:w="1560" w:type="dxa"/>
            <w:shd w:val="clear" w:color="auto" w:fill="D9D9D9"/>
          </w:tcPr>
          <w:p w14:paraId="00000093"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2.63</w:t>
            </w:r>
          </w:p>
        </w:tc>
      </w:tr>
      <w:tr w:rsidR="007958CD" w14:paraId="55337560" w14:textId="77777777" w:rsidTr="007958CD">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00000094" w14:textId="77777777" w:rsidR="007958CD" w:rsidRDefault="0065383D">
            <w:pPr>
              <w:jc w:val="center"/>
              <w:rPr>
                <w:rFonts w:ascii="Quicksand" w:eastAsia="Quicksand" w:hAnsi="Quicksand" w:cs="Quicksand"/>
                <w:sz w:val="20"/>
                <w:szCs w:val="20"/>
              </w:rPr>
            </w:pPr>
            <w:r>
              <w:rPr>
                <w:rFonts w:ascii="Quicksand" w:eastAsia="Quicksand" w:hAnsi="Quicksand" w:cs="Quicksand"/>
                <w:b w:val="0"/>
                <w:sz w:val="20"/>
                <w:szCs w:val="20"/>
              </w:rPr>
              <w:t>6</w:t>
            </w:r>
          </w:p>
        </w:tc>
        <w:tc>
          <w:tcPr>
            <w:tcW w:w="850" w:type="dxa"/>
          </w:tcPr>
          <w:p w14:paraId="00000095" w14:textId="77777777" w:rsidR="007958CD" w:rsidRDefault="0065383D">
            <w:pPr>
              <w:jc w:val="center"/>
              <w:cnfStyle w:val="000000000000" w:firstRow="0"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3</w:t>
            </w:r>
          </w:p>
        </w:tc>
        <w:tc>
          <w:tcPr>
            <w:tcW w:w="1560" w:type="dxa"/>
          </w:tcPr>
          <w:p w14:paraId="00000096" w14:textId="77777777" w:rsidR="007958CD" w:rsidRDefault="0065383D">
            <w:pPr>
              <w:jc w:val="center"/>
              <w:cnfStyle w:val="000000000000" w:firstRow="0"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7.89</w:t>
            </w:r>
          </w:p>
        </w:tc>
      </w:tr>
    </w:tbl>
    <w:p w14:paraId="00000097" w14:textId="77777777" w:rsidR="007958CD" w:rsidRDefault="0065383D">
      <w:pPr>
        <w:spacing w:after="160" w:line="259" w:lineRule="auto"/>
        <w:jc w:val="center"/>
        <w:rPr>
          <w:rFonts w:ascii="Quicksand" w:eastAsia="Quicksand" w:hAnsi="Quicksand" w:cs="Quicksand"/>
          <w:color w:val="767171"/>
          <w:sz w:val="18"/>
          <w:szCs w:val="18"/>
        </w:rPr>
      </w:pPr>
      <w:r>
        <w:rPr>
          <w:rFonts w:ascii="Quicksand" w:eastAsia="Quicksand" w:hAnsi="Quicksand" w:cs="Quicksand"/>
          <w:color w:val="767171"/>
          <w:sz w:val="18"/>
          <w:szCs w:val="18"/>
        </w:rPr>
        <w:t>Fuente: Sinergias 2018</w:t>
      </w:r>
    </w:p>
    <w:p w14:paraId="00000098" w14:textId="77777777" w:rsidR="007958CD" w:rsidRDefault="0065383D">
      <w:pPr>
        <w:spacing w:after="160"/>
        <w:jc w:val="both"/>
        <w:rPr>
          <w:rFonts w:ascii="Quicksand" w:eastAsia="Quicksand" w:hAnsi="Quicksand" w:cs="Quicksand"/>
        </w:rPr>
      </w:pPr>
      <w:r>
        <w:rPr>
          <w:rFonts w:ascii="Quicksand" w:eastAsia="Quicksand" w:hAnsi="Quicksand" w:cs="Quicksand"/>
        </w:rPr>
        <w:t xml:space="preserve">Únicamente una gestante había presentado un aborto previo a la gestación actual y 4 habían tenido partos por cesárea previamente. </w:t>
      </w:r>
    </w:p>
    <w:p w14:paraId="00000099" w14:textId="77777777" w:rsidR="007958CD" w:rsidRDefault="0065383D">
      <w:pPr>
        <w:spacing w:after="160"/>
        <w:jc w:val="both"/>
        <w:rPr>
          <w:rFonts w:ascii="Quicksand" w:eastAsia="Quicksand" w:hAnsi="Quicksand" w:cs="Quicksand"/>
        </w:rPr>
      </w:pPr>
      <w:r>
        <w:rPr>
          <w:rFonts w:ascii="Quicksand" w:eastAsia="Quicksand" w:hAnsi="Quicksand" w:cs="Quicksand"/>
        </w:rPr>
        <w:t>A 38 gestantes se les tomaron mediciones antropométricas y se realizó la clasificación nutricional de acuerdo con la edad ges</w:t>
      </w:r>
      <w:r>
        <w:rPr>
          <w:rFonts w:ascii="Quicksand" w:eastAsia="Quicksand" w:hAnsi="Quicksand" w:cs="Quicksand"/>
        </w:rPr>
        <w:t xml:space="preserve">tacional utilizando la curva de </w:t>
      </w:r>
      <w:proofErr w:type="spellStart"/>
      <w:r>
        <w:rPr>
          <w:rFonts w:ascii="Quicksand" w:eastAsia="Quicksand" w:hAnsi="Quicksand" w:cs="Quicksand"/>
        </w:rPr>
        <w:t>Atalah</w:t>
      </w:r>
      <w:proofErr w:type="spellEnd"/>
      <w:r>
        <w:rPr>
          <w:rFonts w:ascii="Quicksand" w:eastAsia="Quicksand" w:hAnsi="Quicksand" w:cs="Quicksand"/>
        </w:rPr>
        <w:t>. El Gráfico 18 muestra los resultados de clasificación nutricional por punto de atención. Se evidencia que la zona de Pueblo Nuevo es donde más gestantes se encuentran con sobrepeso y con bajo peso, mientras que en Ti</w:t>
      </w:r>
      <w:r>
        <w:rPr>
          <w:rFonts w:ascii="Quicksand" w:eastAsia="Quicksand" w:hAnsi="Quicksand" w:cs="Quicksand"/>
        </w:rPr>
        <w:t xml:space="preserve">mbó y Wacará la totalidad de las gestantes se encuentran en peso adecuado para la edad gestacional. Las 2 gestantes de bajo peso fueron valoradas por la nutricionista y, al momento de la valoración, todas se encontraban en peso adecuado. </w:t>
      </w:r>
    </w:p>
    <w:p w14:paraId="0000009A" w14:textId="77777777" w:rsidR="007958CD" w:rsidRDefault="0065383D">
      <w:pPr>
        <w:keepNext/>
        <w:jc w:val="center"/>
        <w:rPr>
          <w:rFonts w:ascii="Quicksand" w:eastAsia="Quicksand" w:hAnsi="Quicksand" w:cs="Quicksand"/>
          <w:color w:val="7F7F7F"/>
          <w:sz w:val="20"/>
          <w:szCs w:val="20"/>
        </w:rPr>
      </w:pPr>
      <w:r>
        <w:rPr>
          <w:rFonts w:ascii="Quicksand" w:eastAsia="Quicksand" w:hAnsi="Quicksand" w:cs="Quicksand"/>
          <w:color w:val="7F7F7F"/>
          <w:sz w:val="20"/>
          <w:szCs w:val="20"/>
        </w:rPr>
        <w:lastRenderedPageBreak/>
        <w:t>Gráfico 18: Clasi</w:t>
      </w:r>
      <w:r>
        <w:rPr>
          <w:rFonts w:ascii="Quicksand" w:eastAsia="Quicksand" w:hAnsi="Quicksand" w:cs="Quicksand"/>
          <w:color w:val="7F7F7F"/>
          <w:sz w:val="20"/>
          <w:szCs w:val="20"/>
        </w:rPr>
        <w:t xml:space="preserve">ficación nutricional de gestantes según curva de </w:t>
      </w:r>
      <w:proofErr w:type="spellStart"/>
      <w:r>
        <w:rPr>
          <w:rFonts w:ascii="Quicksand" w:eastAsia="Quicksand" w:hAnsi="Quicksand" w:cs="Quicksand"/>
          <w:color w:val="7F7F7F"/>
          <w:sz w:val="20"/>
          <w:szCs w:val="20"/>
        </w:rPr>
        <w:t>Atalah</w:t>
      </w:r>
      <w:proofErr w:type="spellEnd"/>
      <w:r>
        <w:rPr>
          <w:rFonts w:ascii="Quicksand" w:eastAsia="Quicksand" w:hAnsi="Quicksand" w:cs="Quicksand"/>
          <w:color w:val="7F7F7F"/>
          <w:sz w:val="20"/>
          <w:szCs w:val="20"/>
        </w:rPr>
        <w:t xml:space="preserve"> por punto de atención. Zona suburbana de Mitú, 2018.</w:t>
      </w:r>
    </w:p>
    <w:p w14:paraId="0000009B" w14:textId="77777777" w:rsidR="007958CD" w:rsidRDefault="0065383D">
      <w:pPr>
        <w:keepNext/>
        <w:spacing w:after="160" w:line="259" w:lineRule="auto"/>
        <w:jc w:val="center"/>
        <w:rPr>
          <w:rFonts w:ascii="Quicksand" w:eastAsia="Quicksand" w:hAnsi="Quicksand" w:cs="Quicksand"/>
          <w:sz w:val="20"/>
          <w:szCs w:val="20"/>
        </w:rPr>
      </w:pPr>
      <w:r>
        <w:rPr>
          <w:rFonts w:ascii="Quicksand" w:eastAsia="Quicksand" w:hAnsi="Quicksand" w:cs="Quicksand"/>
          <w:noProof/>
          <w:sz w:val="20"/>
          <w:szCs w:val="20"/>
        </w:rPr>
        <w:drawing>
          <wp:inline distT="0" distB="0" distL="0" distR="0">
            <wp:extent cx="4597689" cy="334378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4597689" cy="3343780"/>
                    </a:xfrm>
                    <a:prstGeom prst="rect">
                      <a:avLst/>
                    </a:prstGeom>
                    <a:ln/>
                  </pic:spPr>
                </pic:pic>
              </a:graphicData>
            </a:graphic>
          </wp:inline>
        </w:drawing>
      </w:r>
    </w:p>
    <w:p w14:paraId="0000009C" w14:textId="77777777" w:rsidR="007958CD" w:rsidRDefault="0065383D">
      <w:pPr>
        <w:spacing w:after="160" w:line="259" w:lineRule="auto"/>
        <w:jc w:val="center"/>
        <w:rPr>
          <w:rFonts w:ascii="Quicksand" w:eastAsia="Quicksand" w:hAnsi="Quicksand" w:cs="Quicksand"/>
          <w:color w:val="767171"/>
          <w:sz w:val="18"/>
          <w:szCs w:val="18"/>
        </w:rPr>
      </w:pPr>
      <w:r>
        <w:rPr>
          <w:rFonts w:ascii="Quicksand" w:eastAsia="Quicksand" w:hAnsi="Quicksand" w:cs="Quicksand"/>
          <w:color w:val="767171"/>
          <w:sz w:val="18"/>
          <w:szCs w:val="18"/>
        </w:rPr>
        <w:t>Fuente: Sinergias 2018</w:t>
      </w:r>
    </w:p>
    <w:p w14:paraId="0000009D" w14:textId="77777777" w:rsidR="007958CD" w:rsidRDefault="007958CD">
      <w:pPr>
        <w:spacing w:line="259" w:lineRule="auto"/>
        <w:jc w:val="both"/>
        <w:rPr>
          <w:rFonts w:ascii="Quicksand" w:eastAsia="Quicksand" w:hAnsi="Quicksand" w:cs="Quicksand"/>
        </w:rPr>
      </w:pPr>
    </w:p>
    <w:p w14:paraId="0000009E" w14:textId="77777777" w:rsidR="007958CD" w:rsidRDefault="0065383D">
      <w:pPr>
        <w:jc w:val="both"/>
        <w:rPr>
          <w:rFonts w:ascii="Quicksand" w:eastAsia="Quicksand" w:hAnsi="Quicksand" w:cs="Quicksand"/>
        </w:rPr>
      </w:pPr>
      <w:r>
        <w:rPr>
          <w:rFonts w:ascii="Quicksand" w:eastAsia="Quicksand" w:hAnsi="Quicksand" w:cs="Quicksand"/>
        </w:rPr>
        <w:t>De las 25 gestantes seguidas durante el año 2018, 20 (80%) recibieron micronutrientes (sulfato ferroso, carbonato de calc</w:t>
      </w:r>
      <w:r>
        <w:rPr>
          <w:rFonts w:ascii="Quicksand" w:eastAsia="Quicksand" w:hAnsi="Quicksand" w:cs="Quicksand"/>
        </w:rPr>
        <w:t xml:space="preserve">io y ácido fólico). </w:t>
      </w:r>
    </w:p>
    <w:p w14:paraId="0000009F" w14:textId="77777777" w:rsidR="007958CD" w:rsidRDefault="0065383D">
      <w:pPr>
        <w:spacing w:before="240"/>
        <w:jc w:val="both"/>
        <w:rPr>
          <w:rFonts w:ascii="Quicksand" w:eastAsia="Quicksand" w:hAnsi="Quicksand" w:cs="Quicksand"/>
        </w:rPr>
      </w:pPr>
      <w:r>
        <w:rPr>
          <w:rFonts w:ascii="Quicksand" w:eastAsia="Quicksand" w:hAnsi="Quicksand" w:cs="Quicksand"/>
        </w:rPr>
        <w:t>Se tomaron muestras para determinación de hemoglobina a 10 gestantes. Los valores oscilaron entren 9,2 y 13,1g/</w:t>
      </w:r>
      <w:proofErr w:type="spellStart"/>
      <w:r>
        <w:rPr>
          <w:rFonts w:ascii="Quicksand" w:eastAsia="Quicksand" w:hAnsi="Quicksand" w:cs="Quicksand"/>
        </w:rPr>
        <w:t>dL</w:t>
      </w:r>
      <w:proofErr w:type="spellEnd"/>
      <w:r>
        <w:rPr>
          <w:rFonts w:ascii="Quicksand" w:eastAsia="Quicksand" w:hAnsi="Quicksand" w:cs="Quicksand"/>
        </w:rPr>
        <w:t>. Ninguna tenía criterio de remisión (hemoglobina por debajo de 9g/</w:t>
      </w:r>
      <w:proofErr w:type="spellStart"/>
      <w:r>
        <w:rPr>
          <w:rFonts w:ascii="Quicksand" w:eastAsia="Quicksand" w:hAnsi="Quicksand" w:cs="Quicksand"/>
        </w:rPr>
        <w:t>dL</w:t>
      </w:r>
      <w:proofErr w:type="spellEnd"/>
      <w:r>
        <w:rPr>
          <w:rFonts w:ascii="Quicksand" w:eastAsia="Quicksand" w:hAnsi="Quicksand" w:cs="Quicksand"/>
        </w:rPr>
        <w:t>); sin embargo, el 60% (6) tenía hemoglobina por deba</w:t>
      </w:r>
      <w:r>
        <w:rPr>
          <w:rFonts w:ascii="Quicksand" w:eastAsia="Quicksand" w:hAnsi="Quicksand" w:cs="Quicksand"/>
        </w:rPr>
        <w:t>jo de 10g/</w:t>
      </w:r>
      <w:proofErr w:type="spellStart"/>
      <w:r>
        <w:rPr>
          <w:rFonts w:ascii="Quicksand" w:eastAsia="Quicksand" w:hAnsi="Quicksand" w:cs="Quicksand"/>
        </w:rPr>
        <w:t>dL</w:t>
      </w:r>
      <w:proofErr w:type="spellEnd"/>
      <w:r>
        <w:rPr>
          <w:rFonts w:ascii="Quicksand" w:eastAsia="Quicksand" w:hAnsi="Quicksand" w:cs="Quicksand"/>
        </w:rPr>
        <w:t>, criterio diagnóstico de anemia en esta población. A todas ellas se les hizo entrega de sulfato ferroso como lo indica la Guía de Práctica Clínica del Ministerio de Salud y Protección Social y se hicieron las recomendaciones nutricionales para</w:t>
      </w:r>
      <w:r>
        <w:rPr>
          <w:rFonts w:ascii="Quicksand" w:eastAsia="Quicksand" w:hAnsi="Quicksand" w:cs="Quicksand"/>
        </w:rPr>
        <w:t xml:space="preserve"> mejorar el consumo de hierro y su captación. </w:t>
      </w:r>
    </w:p>
    <w:p w14:paraId="000000A0" w14:textId="77777777" w:rsidR="007958CD" w:rsidRDefault="0065383D">
      <w:pPr>
        <w:spacing w:before="240"/>
        <w:jc w:val="both"/>
        <w:rPr>
          <w:rFonts w:ascii="Quicksand" w:eastAsia="Quicksand" w:hAnsi="Quicksand" w:cs="Quicksand"/>
        </w:rPr>
      </w:pPr>
      <w:r>
        <w:rPr>
          <w:rFonts w:ascii="Quicksand" w:eastAsia="Quicksand" w:hAnsi="Quicksand" w:cs="Quicksand"/>
        </w:rPr>
        <w:t>A la fecha, 22 gestantes han tenido parto, de ellas el 40% (9) han sido partos domiciliarios y los otros 13 han sido partos institucionales. Como se mencionó anteriormente dado que el 40% de los partos están o</w:t>
      </w:r>
      <w:r>
        <w:rPr>
          <w:rFonts w:ascii="Quicksand" w:eastAsia="Quicksand" w:hAnsi="Quicksand" w:cs="Quicksand"/>
        </w:rPr>
        <w:t>curriendo en la comunidad, se han adelantado procesos de capacitación con los auxiliares para asegurar que pueden acompañar ese momento con los instrumentos adecuados para asegurar un parto limpio, pero al mismo tiempo respetando las prácticas culturales q</w:t>
      </w:r>
      <w:r>
        <w:rPr>
          <w:rFonts w:ascii="Quicksand" w:eastAsia="Quicksand" w:hAnsi="Quicksand" w:cs="Quicksand"/>
        </w:rPr>
        <w:t>ue son importantes para el adecuado crecimiento y desarrollo de los niños y niñas en este contexto.</w:t>
      </w:r>
    </w:p>
    <w:p w14:paraId="000000A1" w14:textId="77777777" w:rsidR="007958CD" w:rsidRDefault="0065383D">
      <w:pPr>
        <w:spacing w:before="240"/>
        <w:jc w:val="both"/>
        <w:rPr>
          <w:rFonts w:ascii="Quicksand" w:eastAsia="Quicksand" w:hAnsi="Quicksand" w:cs="Quicksand"/>
        </w:rPr>
      </w:pPr>
      <w:r>
        <w:rPr>
          <w:rFonts w:ascii="Quicksand" w:eastAsia="Quicksand" w:hAnsi="Quicksand" w:cs="Quicksand"/>
        </w:rPr>
        <w:t>Se cuenta con datos de peso y talla de 12 recién nacidos. A la fecha ningún recién nacido ha tendido bajo peso al nacer. En promedio el peso de los recién n</w:t>
      </w:r>
      <w:r>
        <w:rPr>
          <w:rFonts w:ascii="Quicksand" w:eastAsia="Quicksand" w:hAnsi="Quicksand" w:cs="Quicksand"/>
        </w:rPr>
        <w:t xml:space="preserve">acidos fue de 3083g con una desviación estándar de 324g. El promedio de talla fue de 48,4cm con una desviación estándar de 2,4cm. </w:t>
      </w:r>
    </w:p>
    <w:p w14:paraId="000000A2" w14:textId="77777777" w:rsidR="007958CD" w:rsidRDefault="0065383D">
      <w:pPr>
        <w:spacing w:before="240"/>
        <w:jc w:val="both"/>
        <w:rPr>
          <w:rFonts w:ascii="Quicksand" w:eastAsia="Quicksand" w:hAnsi="Quicksand" w:cs="Quicksand"/>
        </w:rPr>
      </w:pPr>
      <w:r>
        <w:rPr>
          <w:rFonts w:ascii="Quicksand" w:eastAsia="Quicksand" w:hAnsi="Quicksand" w:cs="Quicksand"/>
        </w:rPr>
        <w:lastRenderedPageBreak/>
        <w:t xml:space="preserve">La Tabla 14 señala otras variables identificadas en las gestantes seguidas durante 2018. Se observa que menos de la mitad ha </w:t>
      </w:r>
      <w:r>
        <w:rPr>
          <w:rFonts w:ascii="Quicksand" w:eastAsia="Quicksand" w:hAnsi="Quicksand" w:cs="Quicksand"/>
        </w:rPr>
        <w:t>consultado con el médico tradicional y solo para una mujer gestante se contaba con plan de evacuación en caso de emergencia. El 68% de las gestantes que tuvieron seguimiento se encontraban en alto riesgo obstétrico y una quinta parte requirieron remisión a</w:t>
      </w:r>
      <w:r>
        <w:rPr>
          <w:rFonts w:ascii="Quicksand" w:eastAsia="Quicksand" w:hAnsi="Quicksand" w:cs="Quicksand"/>
        </w:rPr>
        <w:t>l hospital.</w:t>
      </w:r>
    </w:p>
    <w:p w14:paraId="000000A3" w14:textId="77777777" w:rsidR="007958CD" w:rsidRDefault="0065383D">
      <w:pPr>
        <w:spacing w:before="240" w:after="160" w:line="259" w:lineRule="auto"/>
        <w:jc w:val="center"/>
        <w:rPr>
          <w:rFonts w:ascii="Quicksand" w:eastAsia="Quicksand" w:hAnsi="Quicksand" w:cs="Quicksand"/>
          <w:color w:val="7F7F7F"/>
          <w:sz w:val="20"/>
          <w:szCs w:val="20"/>
        </w:rPr>
      </w:pPr>
      <w:r>
        <w:rPr>
          <w:rFonts w:ascii="Quicksand" w:eastAsia="Quicksand" w:hAnsi="Quicksand" w:cs="Quicksand"/>
          <w:color w:val="7F7F7F"/>
          <w:sz w:val="20"/>
          <w:szCs w:val="20"/>
        </w:rPr>
        <w:t>Tabla 14: Otros aspectos identificados en las gestantes que tuvieron seguimiento.</w:t>
      </w:r>
    </w:p>
    <w:tbl>
      <w:tblPr>
        <w:tblStyle w:val="a1"/>
        <w:tblW w:w="5174" w:type="dxa"/>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3823"/>
        <w:gridCol w:w="474"/>
        <w:gridCol w:w="877"/>
      </w:tblGrid>
      <w:tr w:rsidR="007958CD" w14:paraId="322AB40D" w14:textId="77777777" w:rsidTr="007958C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23" w:type="dxa"/>
            <w:tcBorders>
              <w:top w:val="nil"/>
              <w:left w:val="nil"/>
              <w:bottom w:val="nil"/>
            </w:tcBorders>
            <w:shd w:val="clear" w:color="auto" w:fill="7030A0"/>
          </w:tcPr>
          <w:p w14:paraId="000000A4" w14:textId="77777777" w:rsidR="007958CD" w:rsidRDefault="0065383D">
            <w:pPr>
              <w:rPr>
                <w:rFonts w:ascii="Quicksand" w:eastAsia="Quicksand" w:hAnsi="Quicksand" w:cs="Quicksand"/>
                <w:sz w:val="20"/>
                <w:szCs w:val="20"/>
              </w:rPr>
            </w:pPr>
            <w:r>
              <w:rPr>
                <w:rFonts w:ascii="Quicksand" w:eastAsia="Quicksand" w:hAnsi="Quicksand" w:cs="Quicksand"/>
                <w:b w:val="0"/>
                <w:sz w:val="20"/>
                <w:szCs w:val="20"/>
              </w:rPr>
              <w:t>Variable</w:t>
            </w:r>
          </w:p>
        </w:tc>
        <w:tc>
          <w:tcPr>
            <w:tcW w:w="474" w:type="dxa"/>
            <w:tcBorders>
              <w:top w:val="nil"/>
              <w:bottom w:val="nil"/>
            </w:tcBorders>
            <w:shd w:val="clear" w:color="auto" w:fill="7030A0"/>
          </w:tcPr>
          <w:p w14:paraId="000000A5" w14:textId="77777777" w:rsidR="007958CD" w:rsidRDefault="0065383D">
            <w:pPr>
              <w:jc w:val="center"/>
              <w:cnfStyle w:val="100000000000" w:firstRow="1"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b w:val="0"/>
                <w:sz w:val="20"/>
                <w:szCs w:val="20"/>
              </w:rPr>
              <w:t>n</w:t>
            </w:r>
          </w:p>
        </w:tc>
        <w:tc>
          <w:tcPr>
            <w:tcW w:w="877" w:type="dxa"/>
            <w:tcBorders>
              <w:top w:val="nil"/>
              <w:bottom w:val="nil"/>
              <w:right w:val="nil"/>
            </w:tcBorders>
            <w:shd w:val="clear" w:color="auto" w:fill="7030A0"/>
          </w:tcPr>
          <w:p w14:paraId="000000A6" w14:textId="77777777" w:rsidR="007958CD" w:rsidRDefault="0065383D">
            <w:pPr>
              <w:jc w:val="center"/>
              <w:cnfStyle w:val="100000000000" w:firstRow="1"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b w:val="0"/>
                <w:sz w:val="20"/>
                <w:szCs w:val="20"/>
              </w:rPr>
              <w:t>%</w:t>
            </w:r>
          </w:p>
        </w:tc>
      </w:tr>
      <w:tr w:rsidR="007958CD" w14:paraId="2B4A17D6" w14:textId="77777777" w:rsidTr="007958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23" w:type="dxa"/>
            <w:shd w:val="clear" w:color="auto" w:fill="E8DFF5"/>
          </w:tcPr>
          <w:p w14:paraId="000000A7" w14:textId="77777777" w:rsidR="007958CD" w:rsidRDefault="0065383D">
            <w:pPr>
              <w:rPr>
                <w:rFonts w:ascii="Quicksand" w:eastAsia="Quicksand" w:hAnsi="Quicksand" w:cs="Quicksand"/>
                <w:sz w:val="20"/>
                <w:szCs w:val="20"/>
              </w:rPr>
            </w:pPr>
            <w:r>
              <w:rPr>
                <w:rFonts w:ascii="Quicksand" w:eastAsia="Quicksand" w:hAnsi="Quicksand" w:cs="Quicksand"/>
                <w:b w:val="0"/>
                <w:sz w:val="20"/>
                <w:szCs w:val="20"/>
              </w:rPr>
              <w:t>Gestantes con alto riesgo obstétrico</w:t>
            </w:r>
          </w:p>
        </w:tc>
        <w:tc>
          <w:tcPr>
            <w:tcW w:w="474" w:type="dxa"/>
            <w:shd w:val="clear" w:color="auto" w:fill="E8DFF5"/>
          </w:tcPr>
          <w:p w14:paraId="000000A8"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17</w:t>
            </w:r>
          </w:p>
        </w:tc>
        <w:tc>
          <w:tcPr>
            <w:tcW w:w="877" w:type="dxa"/>
            <w:shd w:val="clear" w:color="auto" w:fill="E8DFF5"/>
          </w:tcPr>
          <w:p w14:paraId="000000A9"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68%</w:t>
            </w:r>
          </w:p>
        </w:tc>
      </w:tr>
      <w:tr w:rsidR="007958CD" w14:paraId="548140A9" w14:textId="77777777" w:rsidTr="007958CD">
        <w:trPr>
          <w:jc w:val="center"/>
        </w:trPr>
        <w:tc>
          <w:tcPr>
            <w:cnfStyle w:val="001000000000" w:firstRow="0" w:lastRow="0" w:firstColumn="1" w:lastColumn="0" w:oddVBand="0" w:evenVBand="0" w:oddHBand="0" w:evenHBand="0" w:firstRowFirstColumn="0" w:firstRowLastColumn="0" w:lastRowFirstColumn="0" w:lastRowLastColumn="0"/>
            <w:tcW w:w="3823" w:type="dxa"/>
          </w:tcPr>
          <w:p w14:paraId="000000AA" w14:textId="77777777" w:rsidR="007958CD" w:rsidRDefault="0065383D">
            <w:pPr>
              <w:rPr>
                <w:rFonts w:ascii="Quicksand" w:eastAsia="Quicksand" w:hAnsi="Quicksand" w:cs="Quicksand"/>
                <w:sz w:val="20"/>
                <w:szCs w:val="20"/>
              </w:rPr>
            </w:pPr>
            <w:r>
              <w:rPr>
                <w:rFonts w:ascii="Quicksand" w:eastAsia="Quicksand" w:hAnsi="Quicksand" w:cs="Quicksand"/>
                <w:b w:val="0"/>
                <w:sz w:val="20"/>
                <w:szCs w:val="20"/>
              </w:rPr>
              <w:t>Tiene plan de evacuación</w:t>
            </w:r>
          </w:p>
        </w:tc>
        <w:tc>
          <w:tcPr>
            <w:tcW w:w="474" w:type="dxa"/>
          </w:tcPr>
          <w:p w14:paraId="000000AB" w14:textId="77777777" w:rsidR="007958CD" w:rsidRDefault="0065383D">
            <w:pPr>
              <w:jc w:val="center"/>
              <w:cnfStyle w:val="000000000000" w:firstRow="0"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1</w:t>
            </w:r>
          </w:p>
        </w:tc>
        <w:tc>
          <w:tcPr>
            <w:tcW w:w="877" w:type="dxa"/>
          </w:tcPr>
          <w:p w14:paraId="000000AC" w14:textId="77777777" w:rsidR="007958CD" w:rsidRDefault="0065383D">
            <w:pPr>
              <w:jc w:val="center"/>
              <w:cnfStyle w:val="000000000000" w:firstRow="0"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4,1%</w:t>
            </w:r>
          </w:p>
        </w:tc>
      </w:tr>
      <w:tr w:rsidR="007958CD" w14:paraId="7D9A7E04" w14:textId="77777777" w:rsidTr="007958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23" w:type="dxa"/>
            <w:shd w:val="clear" w:color="auto" w:fill="E8DFF5"/>
          </w:tcPr>
          <w:p w14:paraId="000000AD" w14:textId="77777777" w:rsidR="007958CD" w:rsidRDefault="0065383D">
            <w:pPr>
              <w:rPr>
                <w:rFonts w:ascii="Quicksand" w:eastAsia="Quicksand" w:hAnsi="Quicksand" w:cs="Quicksand"/>
                <w:sz w:val="20"/>
                <w:szCs w:val="20"/>
              </w:rPr>
            </w:pPr>
            <w:r>
              <w:rPr>
                <w:rFonts w:ascii="Quicksand" w:eastAsia="Quicksand" w:hAnsi="Quicksand" w:cs="Quicksand"/>
                <w:b w:val="0"/>
                <w:sz w:val="20"/>
                <w:szCs w:val="20"/>
              </w:rPr>
              <w:t>Gestantes que requirieron remisión</w:t>
            </w:r>
          </w:p>
        </w:tc>
        <w:tc>
          <w:tcPr>
            <w:tcW w:w="474" w:type="dxa"/>
            <w:shd w:val="clear" w:color="auto" w:fill="E8DFF5"/>
          </w:tcPr>
          <w:p w14:paraId="000000AE"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6</w:t>
            </w:r>
          </w:p>
        </w:tc>
        <w:tc>
          <w:tcPr>
            <w:tcW w:w="877" w:type="dxa"/>
            <w:shd w:val="clear" w:color="auto" w:fill="E8DFF5"/>
          </w:tcPr>
          <w:p w14:paraId="000000AF"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24%</w:t>
            </w:r>
          </w:p>
        </w:tc>
      </w:tr>
      <w:tr w:rsidR="007958CD" w14:paraId="2AE14B80" w14:textId="77777777" w:rsidTr="007958CD">
        <w:trPr>
          <w:jc w:val="center"/>
        </w:trPr>
        <w:tc>
          <w:tcPr>
            <w:cnfStyle w:val="001000000000" w:firstRow="0" w:lastRow="0" w:firstColumn="1" w:lastColumn="0" w:oddVBand="0" w:evenVBand="0" w:oddHBand="0" w:evenHBand="0" w:firstRowFirstColumn="0" w:firstRowLastColumn="0" w:lastRowFirstColumn="0" w:lastRowLastColumn="0"/>
            <w:tcW w:w="3823" w:type="dxa"/>
          </w:tcPr>
          <w:p w14:paraId="000000B0" w14:textId="77777777" w:rsidR="007958CD" w:rsidRDefault="0065383D">
            <w:pPr>
              <w:rPr>
                <w:rFonts w:ascii="Quicksand" w:eastAsia="Quicksand" w:hAnsi="Quicksand" w:cs="Quicksand"/>
                <w:sz w:val="20"/>
                <w:szCs w:val="20"/>
              </w:rPr>
            </w:pPr>
            <w:r>
              <w:rPr>
                <w:rFonts w:ascii="Quicksand" w:eastAsia="Quicksand" w:hAnsi="Quicksand" w:cs="Quicksand"/>
                <w:b w:val="0"/>
                <w:sz w:val="20"/>
                <w:szCs w:val="20"/>
              </w:rPr>
              <w:t>Presentó algún signo de alarma</w:t>
            </w:r>
          </w:p>
        </w:tc>
        <w:tc>
          <w:tcPr>
            <w:tcW w:w="474" w:type="dxa"/>
          </w:tcPr>
          <w:p w14:paraId="000000B1" w14:textId="77777777" w:rsidR="007958CD" w:rsidRDefault="0065383D">
            <w:pPr>
              <w:jc w:val="center"/>
              <w:cnfStyle w:val="000000000000" w:firstRow="0"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9</w:t>
            </w:r>
          </w:p>
        </w:tc>
        <w:tc>
          <w:tcPr>
            <w:tcW w:w="877" w:type="dxa"/>
          </w:tcPr>
          <w:p w14:paraId="000000B2" w14:textId="77777777" w:rsidR="007958CD" w:rsidRDefault="0065383D">
            <w:pPr>
              <w:jc w:val="center"/>
              <w:cnfStyle w:val="000000000000" w:firstRow="0" w:lastRow="0" w:firstColumn="0" w:lastColumn="0" w:oddVBand="0" w:evenVBand="0" w:oddHBand="0"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36%</w:t>
            </w:r>
          </w:p>
        </w:tc>
      </w:tr>
      <w:tr w:rsidR="007958CD" w14:paraId="201A44A5" w14:textId="77777777" w:rsidTr="007958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23" w:type="dxa"/>
            <w:shd w:val="clear" w:color="auto" w:fill="E8DFF5"/>
          </w:tcPr>
          <w:p w14:paraId="000000B3" w14:textId="77777777" w:rsidR="007958CD" w:rsidRDefault="0065383D">
            <w:pPr>
              <w:rPr>
                <w:rFonts w:ascii="Quicksand" w:eastAsia="Quicksand" w:hAnsi="Quicksand" w:cs="Quicksand"/>
                <w:sz w:val="20"/>
                <w:szCs w:val="20"/>
              </w:rPr>
            </w:pPr>
            <w:r>
              <w:rPr>
                <w:rFonts w:ascii="Quicksand" w:eastAsia="Quicksand" w:hAnsi="Quicksand" w:cs="Quicksand"/>
                <w:b w:val="0"/>
                <w:sz w:val="20"/>
                <w:szCs w:val="20"/>
              </w:rPr>
              <w:t>Consultó al payé o médico tradicional</w:t>
            </w:r>
          </w:p>
        </w:tc>
        <w:tc>
          <w:tcPr>
            <w:tcW w:w="474" w:type="dxa"/>
            <w:shd w:val="clear" w:color="auto" w:fill="E8DFF5"/>
          </w:tcPr>
          <w:p w14:paraId="000000B4"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11</w:t>
            </w:r>
          </w:p>
        </w:tc>
        <w:tc>
          <w:tcPr>
            <w:tcW w:w="877" w:type="dxa"/>
            <w:shd w:val="clear" w:color="auto" w:fill="E8DFF5"/>
          </w:tcPr>
          <w:p w14:paraId="000000B5" w14:textId="77777777" w:rsidR="007958CD" w:rsidRDefault="0065383D">
            <w:pPr>
              <w:jc w:val="center"/>
              <w:cnfStyle w:val="000000100000" w:firstRow="0" w:lastRow="0" w:firstColumn="0" w:lastColumn="0" w:oddVBand="0" w:evenVBand="0" w:oddHBand="1" w:evenHBand="0" w:firstRowFirstColumn="0" w:firstRowLastColumn="0" w:lastRowFirstColumn="0" w:lastRowLastColumn="0"/>
              <w:rPr>
                <w:rFonts w:ascii="Quicksand" w:eastAsia="Quicksand" w:hAnsi="Quicksand" w:cs="Quicksand"/>
                <w:sz w:val="20"/>
                <w:szCs w:val="20"/>
              </w:rPr>
            </w:pPr>
            <w:r>
              <w:rPr>
                <w:rFonts w:ascii="Quicksand" w:eastAsia="Quicksand" w:hAnsi="Quicksand" w:cs="Quicksand"/>
                <w:sz w:val="20"/>
                <w:szCs w:val="20"/>
              </w:rPr>
              <w:t>44%</w:t>
            </w:r>
          </w:p>
        </w:tc>
      </w:tr>
    </w:tbl>
    <w:p w14:paraId="000000B6" w14:textId="77777777" w:rsidR="007958CD" w:rsidRDefault="0065383D">
      <w:pPr>
        <w:spacing w:after="160" w:line="259" w:lineRule="auto"/>
        <w:jc w:val="center"/>
        <w:rPr>
          <w:rFonts w:ascii="Quicksand" w:eastAsia="Quicksand" w:hAnsi="Quicksand" w:cs="Quicksand"/>
          <w:color w:val="767171"/>
          <w:sz w:val="18"/>
          <w:szCs w:val="18"/>
        </w:rPr>
      </w:pPr>
      <w:r>
        <w:rPr>
          <w:rFonts w:ascii="Quicksand" w:eastAsia="Quicksand" w:hAnsi="Quicksand" w:cs="Quicksand"/>
        </w:rPr>
        <w:t xml:space="preserve"> </w:t>
      </w:r>
      <w:r>
        <w:rPr>
          <w:rFonts w:ascii="Quicksand" w:eastAsia="Quicksand" w:hAnsi="Quicksand" w:cs="Quicksand"/>
          <w:color w:val="767171"/>
          <w:sz w:val="18"/>
          <w:szCs w:val="18"/>
        </w:rPr>
        <w:t>Fuente: Sinergias 2018</w:t>
      </w:r>
    </w:p>
    <w:p w14:paraId="000000B7" w14:textId="77777777" w:rsidR="007958CD" w:rsidRDefault="0065383D">
      <w:pPr>
        <w:spacing w:before="240" w:after="160"/>
        <w:jc w:val="both"/>
        <w:rPr>
          <w:rFonts w:ascii="Quicksand" w:eastAsia="Quicksand" w:hAnsi="Quicksand" w:cs="Quicksand"/>
        </w:rPr>
      </w:pPr>
      <w:r>
        <w:rPr>
          <w:rFonts w:ascii="Quicksand" w:eastAsia="Quicksand" w:hAnsi="Quicksand" w:cs="Quicksand"/>
        </w:rPr>
        <w:t xml:space="preserve">Finalmente, es de destacar que no se presentaron casos de mortalidad materna o infantil evitables, así como tampoco se presentaron casos de mujeres gestantes menores de 17 años ni de recién nacidos con bajo peso al nacer. </w:t>
      </w:r>
    </w:p>
    <w:p w14:paraId="000000B8" w14:textId="77777777" w:rsidR="007958CD" w:rsidRDefault="0065383D">
      <w:pPr>
        <w:spacing w:after="160"/>
        <w:jc w:val="both"/>
        <w:rPr>
          <w:rFonts w:ascii="Quicksand" w:eastAsia="Quicksand" w:hAnsi="Quicksand" w:cs="Quicksand"/>
        </w:rPr>
      </w:pPr>
      <w:r>
        <w:rPr>
          <w:rFonts w:ascii="Quicksand" w:eastAsia="Quicksand" w:hAnsi="Quicksand" w:cs="Quicksand"/>
        </w:rPr>
        <w:t>Los auxiliares han recibido cuali</w:t>
      </w:r>
      <w:r>
        <w:rPr>
          <w:rFonts w:ascii="Quicksand" w:eastAsia="Quicksand" w:hAnsi="Quicksand" w:cs="Quicksand"/>
        </w:rPr>
        <w:t>ficación y los implementos necesarios para asegurar una atención de parto limpio en la comunidad, así como las herramientas para atender posibles complicaciones de los recién nacidos. Además, gracias al proceso de desarrollo de materiales educativos y prot</w:t>
      </w:r>
      <w:r>
        <w:rPr>
          <w:rFonts w:ascii="Quicksand" w:eastAsia="Quicksand" w:hAnsi="Quicksand" w:cs="Quicksand"/>
        </w:rPr>
        <w:t>ocolos interculturales se ha tenido una mayor comprensión de las prácticas tradicionales en este periodo lo cual permite que la atención que reciban las gestantes por parte de los auxiliares sea respetuosa con estas prácticas y asegure el bienestar de la m</w:t>
      </w:r>
      <w:r>
        <w:rPr>
          <w:rFonts w:ascii="Quicksand" w:eastAsia="Quicksand" w:hAnsi="Quicksand" w:cs="Quicksand"/>
        </w:rPr>
        <w:t xml:space="preserve">adre y el recién nacido. </w:t>
      </w:r>
    </w:p>
    <w:p w14:paraId="000000B9" w14:textId="77777777" w:rsidR="007958CD" w:rsidRDefault="007958CD"/>
    <w:sectPr w:rsidR="007958C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Quicksand">
    <w:panose1 w:val="02070303000000060000"/>
    <w:charset w:val="00"/>
    <w:family w:val="roman"/>
    <w:notTrueType/>
    <w:pitch w:val="variable"/>
    <w:sig w:usb0="A00000AF" w:usb1="00000008" w:usb2="00000000" w:usb3="00000000" w:csb0="0000011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CD"/>
    <w:rsid w:val="0065383D"/>
    <w:rsid w:val="007958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88743"/>
  <w15:docId w15:val="{1F30C4DA-4A14-4C06-8CE0-2759813D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rPr>
      <w:color w:val="C55911"/>
    </w:rPr>
    <w:tblPr>
      <w:tblStyleRowBandSize w:val="1"/>
      <w:tblStyleColBandSize w:val="1"/>
      <w:tblCellMar>
        <w:top w:w="0" w:type="dxa"/>
        <w:left w:w="115" w:type="dxa"/>
        <w:bottom w:w="0" w:type="dxa"/>
        <w:right w:w="115" w:type="dxa"/>
      </w:tblCellMar>
    </w:tblPr>
    <w:tcPr>
      <w:shd w:val="clear" w:color="auto" w:fill="FBE5D5"/>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rPr>
      <w:tblPr/>
      <w:tcPr>
        <w:tcBorders>
          <w:top w:val="single" w:sz="4" w:space="0" w:color="9CC3E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0">
    <w:basedOn w:val="TableNormal"/>
    <w:pPr>
      <w:spacing w:line="240" w:lineRule="auto"/>
    </w:pPr>
    <w:rPr>
      <w:color w:val="C55911"/>
    </w:rPr>
    <w:tblPr>
      <w:tblStyleRowBandSize w:val="1"/>
      <w:tblStyleColBandSize w:val="1"/>
      <w:tblCellMar>
        <w:top w:w="0" w:type="dxa"/>
        <w:left w:w="115" w:type="dxa"/>
        <w:bottom w:w="0" w:type="dxa"/>
        <w:right w:w="115" w:type="dxa"/>
      </w:tblCellMar>
    </w:tblPr>
    <w:tcPr>
      <w:shd w:val="clear" w:color="auto" w:fill="FBE5D5"/>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1">
    <w:basedOn w:val="TableNormal"/>
    <w:pPr>
      <w:spacing w:line="240" w:lineRule="auto"/>
    </w:pPr>
    <w:rPr>
      <w:color w:val="C55911"/>
    </w:rPr>
    <w:tblPr>
      <w:tblStyleRowBandSize w:val="1"/>
      <w:tblStyleColBandSize w:val="1"/>
      <w:tblCellMar>
        <w:top w:w="0" w:type="dxa"/>
        <w:left w:w="115" w:type="dxa"/>
        <w:bottom w:w="0" w:type="dxa"/>
        <w:right w:w="115" w:type="dxa"/>
      </w:tblCellMar>
    </w:tblPr>
    <w:tcPr>
      <w:shd w:val="clear" w:color="auto" w:fill="FBE5D5"/>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1445</Words>
  <Characters>7951</Characters>
  <Application>Microsoft Office Word</Application>
  <DocSecurity>0</DocSecurity>
  <Lines>66</Lines>
  <Paragraphs>18</Paragraphs>
  <ScaleCrop>false</ScaleCrop>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Valentina</cp:lastModifiedBy>
  <cp:revision>2</cp:revision>
  <dcterms:created xsi:type="dcterms:W3CDTF">2021-08-05T20:14:00Z</dcterms:created>
  <dcterms:modified xsi:type="dcterms:W3CDTF">2021-08-05T20:18:00Z</dcterms:modified>
</cp:coreProperties>
</file>