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3F3344" w:rsidR="0034784B" w:rsidRDefault="00D3128E">
      <w:pPr>
        <w:spacing w:after="160"/>
        <w:jc w:val="both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 xml:space="preserve">Origen: Informe Final F. Éxito </w:t>
      </w:r>
      <w:r>
        <w:rPr>
          <w:rFonts w:ascii="Quicksand" w:eastAsia="Quicksand" w:hAnsi="Quicksand" w:cs="Quicksand"/>
        </w:rPr>
        <w:t xml:space="preserve">_ </w:t>
      </w:r>
      <w:r>
        <w:rPr>
          <w:rFonts w:ascii="Quicksand" w:eastAsia="Quicksand" w:hAnsi="Quicksand" w:cs="Quicksand"/>
        </w:rPr>
        <w:t>V</w:t>
      </w:r>
      <w:r>
        <w:rPr>
          <w:rFonts w:ascii="Quicksand" w:eastAsia="Quicksand" w:hAnsi="Quicksand" w:cs="Quicksand"/>
        </w:rPr>
        <w:t>aupé</w:t>
      </w:r>
      <w:r>
        <w:rPr>
          <w:rFonts w:ascii="Quicksand" w:eastAsia="Quicksand" w:hAnsi="Quicksand" w:cs="Quicksand"/>
        </w:rPr>
        <w:t>s Salud</w:t>
      </w:r>
    </w:p>
    <w:p w14:paraId="00000002" w14:textId="77777777" w:rsidR="0034784B" w:rsidRDefault="00D3128E">
      <w:pPr>
        <w:spacing w:after="160"/>
        <w:jc w:val="both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En cuanto al reporte de eventos al Sistema de Vigilancia en Salud Pública (SIVIGILA), en 2017 se realizó notificación en las semanas epidemiológicas 47 a la 49 y en 2018 desde la semana 8 hasta la 38. Las diez principales causas de notificación se observan</w:t>
      </w:r>
      <w:r>
        <w:rPr>
          <w:rFonts w:ascii="Quicksand" w:eastAsia="Quicksand" w:hAnsi="Quicksand" w:cs="Quicksand"/>
        </w:rPr>
        <w:t xml:space="preserve"> a continuación (Tabla 15 y Gráfico 19).</w:t>
      </w:r>
    </w:p>
    <w:p w14:paraId="00000003" w14:textId="77777777" w:rsidR="0034784B" w:rsidRDefault="00D3128E">
      <w:pPr>
        <w:pStyle w:val="Ttulo3"/>
        <w:spacing w:before="40" w:after="0" w:line="259" w:lineRule="auto"/>
        <w:jc w:val="center"/>
        <w:rPr>
          <w:rFonts w:ascii="Quicksand" w:eastAsia="Quicksand" w:hAnsi="Quicksand" w:cs="Quicksand"/>
          <w:b/>
          <w:color w:val="1E4D78"/>
          <w:sz w:val="24"/>
          <w:szCs w:val="24"/>
        </w:rPr>
      </w:pPr>
      <w:bookmarkStart w:id="0" w:name="_147n2zr" w:colFirst="0" w:colLast="0"/>
      <w:bookmarkEnd w:id="0"/>
      <w:r>
        <w:rPr>
          <w:rFonts w:ascii="Quicksand" w:eastAsia="Quicksand" w:hAnsi="Quicksand" w:cs="Quicksand"/>
          <w:color w:val="7F7F7F"/>
          <w:sz w:val="20"/>
          <w:szCs w:val="20"/>
        </w:rPr>
        <w:t>Tabla 15: Eventos de importancia en salud pública reportados en semanas 47 – 49 de 2017.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203200</wp:posOffset>
                </wp:positionV>
                <wp:extent cx="2092766" cy="375285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4380" y="3597120"/>
                          <a:ext cx="2083241" cy="3657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203200</wp:posOffset>
                </wp:positionV>
                <wp:extent cx="2092766" cy="3752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766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7340" w:type="dxa"/>
        <w:jc w:val="center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700"/>
        <w:gridCol w:w="700"/>
        <w:gridCol w:w="700"/>
        <w:gridCol w:w="1200"/>
        <w:gridCol w:w="780"/>
      </w:tblGrid>
      <w:tr w:rsidR="0034784B" w14:paraId="23F5DC4D" w14:textId="77777777" w:rsidTr="00347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04" w14:textId="77777777" w:rsidR="0034784B" w:rsidRDefault="00D3128E">
            <w:pPr>
              <w:spacing w:line="259" w:lineRule="auto"/>
              <w:jc w:val="right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Semana</w:t>
            </w:r>
          </w:p>
          <w:p w14:paraId="00000005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 xml:space="preserve">Evento </w:t>
            </w:r>
          </w:p>
          <w:p w14:paraId="00000006" w14:textId="77777777" w:rsidR="0034784B" w:rsidRDefault="0034784B">
            <w:pPr>
              <w:spacing w:line="259" w:lineRule="auto"/>
              <w:jc w:val="right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07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47</w:t>
            </w:r>
          </w:p>
        </w:tc>
        <w:tc>
          <w:tcPr>
            <w:tcW w:w="700" w:type="dxa"/>
            <w:vAlign w:val="center"/>
          </w:tcPr>
          <w:p w14:paraId="00000008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48</w:t>
            </w:r>
          </w:p>
        </w:tc>
        <w:tc>
          <w:tcPr>
            <w:tcW w:w="700" w:type="dxa"/>
            <w:vAlign w:val="center"/>
          </w:tcPr>
          <w:p w14:paraId="00000009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vAlign w:val="center"/>
          </w:tcPr>
          <w:p w14:paraId="0000000A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Subtotal x evento</w:t>
            </w:r>
          </w:p>
        </w:tc>
        <w:tc>
          <w:tcPr>
            <w:tcW w:w="780" w:type="dxa"/>
            <w:vAlign w:val="center"/>
          </w:tcPr>
          <w:p w14:paraId="0000000B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%</w:t>
            </w:r>
          </w:p>
        </w:tc>
      </w:tr>
      <w:tr w:rsidR="0034784B" w14:paraId="2A1136F0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0C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IRA</w:t>
            </w:r>
          </w:p>
        </w:tc>
        <w:tc>
          <w:tcPr>
            <w:tcW w:w="700" w:type="dxa"/>
            <w:vAlign w:val="center"/>
          </w:tcPr>
          <w:p w14:paraId="0000000D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22</w:t>
            </w:r>
          </w:p>
        </w:tc>
        <w:tc>
          <w:tcPr>
            <w:tcW w:w="700" w:type="dxa"/>
            <w:vAlign w:val="center"/>
          </w:tcPr>
          <w:p w14:paraId="0000000E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14:paraId="0000000F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 w14:paraId="00000010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32</w:t>
            </w:r>
          </w:p>
        </w:tc>
        <w:tc>
          <w:tcPr>
            <w:tcW w:w="780" w:type="dxa"/>
            <w:vAlign w:val="center"/>
          </w:tcPr>
          <w:p w14:paraId="00000011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36</w:t>
            </w:r>
          </w:p>
        </w:tc>
      </w:tr>
      <w:tr w:rsidR="0034784B" w14:paraId="71755B2B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12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Pediculosis</w:t>
            </w:r>
          </w:p>
        </w:tc>
        <w:tc>
          <w:tcPr>
            <w:tcW w:w="700" w:type="dxa"/>
            <w:vAlign w:val="center"/>
          </w:tcPr>
          <w:p w14:paraId="00000013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14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15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27</w:t>
            </w:r>
          </w:p>
        </w:tc>
        <w:tc>
          <w:tcPr>
            <w:tcW w:w="1200" w:type="dxa"/>
            <w:vAlign w:val="center"/>
          </w:tcPr>
          <w:p w14:paraId="00000016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27</w:t>
            </w:r>
          </w:p>
        </w:tc>
        <w:tc>
          <w:tcPr>
            <w:tcW w:w="780" w:type="dxa"/>
            <w:vAlign w:val="center"/>
          </w:tcPr>
          <w:p w14:paraId="00000017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31</w:t>
            </w:r>
          </w:p>
        </w:tc>
      </w:tr>
      <w:tr w:rsidR="0034784B" w14:paraId="3E37737D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18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Escabiosis</w:t>
            </w:r>
          </w:p>
        </w:tc>
        <w:tc>
          <w:tcPr>
            <w:tcW w:w="700" w:type="dxa"/>
            <w:vAlign w:val="center"/>
          </w:tcPr>
          <w:p w14:paraId="00000019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16</w:t>
            </w:r>
          </w:p>
        </w:tc>
        <w:tc>
          <w:tcPr>
            <w:tcW w:w="700" w:type="dxa"/>
            <w:vAlign w:val="center"/>
          </w:tcPr>
          <w:p w14:paraId="0000001A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1B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000001C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16</w:t>
            </w:r>
          </w:p>
        </w:tc>
        <w:tc>
          <w:tcPr>
            <w:tcW w:w="780" w:type="dxa"/>
            <w:vAlign w:val="center"/>
          </w:tcPr>
          <w:p w14:paraId="0000001D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18</w:t>
            </w:r>
          </w:p>
        </w:tc>
      </w:tr>
      <w:tr w:rsidR="0034784B" w14:paraId="7056476B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1E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Neumonías</w:t>
            </w:r>
          </w:p>
        </w:tc>
        <w:tc>
          <w:tcPr>
            <w:tcW w:w="700" w:type="dxa"/>
            <w:vAlign w:val="center"/>
          </w:tcPr>
          <w:p w14:paraId="0000001F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20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21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 w14:paraId="00000022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00000023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</w:tr>
      <w:tr w:rsidR="0034784B" w14:paraId="38FEB8E0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24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EDA</w:t>
            </w:r>
          </w:p>
        </w:tc>
        <w:tc>
          <w:tcPr>
            <w:tcW w:w="700" w:type="dxa"/>
            <w:vAlign w:val="center"/>
          </w:tcPr>
          <w:p w14:paraId="00000025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26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14:paraId="00000027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 w14:paraId="00000028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7</w:t>
            </w:r>
          </w:p>
        </w:tc>
        <w:tc>
          <w:tcPr>
            <w:tcW w:w="780" w:type="dxa"/>
            <w:vAlign w:val="center"/>
          </w:tcPr>
          <w:p w14:paraId="00000029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8</w:t>
            </w:r>
          </w:p>
        </w:tc>
      </w:tr>
      <w:tr w:rsidR="0034784B" w14:paraId="1F073D86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2A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Conjuntivitis</w:t>
            </w:r>
          </w:p>
        </w:tc>
        <w:tc>
          <w:tcPr>
            <w:tcW w:w="700" w:type="dxa"/>
            <w:vAlign w:val="center"/>
          </w:tcPr>
          <w:p w14:paraId="0000002B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2C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2D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 w14:paraId="0000002E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0000002F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</w:t>
            </w:r>
          </w:p>
        </w:tc>
      </w:tr>
      <w:tr w:rsidR="0034784B" w14:paraId="73CFF07A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30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Muerte por DNT en adulto mayor</w:t>
            </w:r>
          </w:p>
        </w:tc>
        <w:tc>
          <w:tcPr>
            <w:tcW w:w="700" w:type="dxa"/>
            <w:vAlign w:val="center"/>
          </w:tcPr>
          <w:p w14:paraId="00000031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32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33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 w14:paraId="00000034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00000035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</w:tr>
      <w:tr w:rsidR="0034784B" w14:paraId="0B497E5F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36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Discapacidad - Síndrome Down</w:t>
            </w:r>
          </w:p>
        </w:tc>
        <w:tc>
          <w:tcPr>
            <w:tcW w:w="700" w:type="dxa"/>
            <w:vAlign w:val="center"/>
          </w:tcPr>
          <w:p w14:paraId="00000037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38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39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 w14:paraId="0000003A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0000003B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</w:tr>
      <w:tr w:rsidR="0034784B" w14:paraId="1D81B457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3C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 w:val="0"/>
                <w:sz w:val="20"/>
                <w:szCs w:val="20"/>
              </w:rPr>
              <w:t>Sintomático respiratorio</w:t>
            </w:r>
          </w:p>
        </w:tc>
        <w:tc>
          <w:tcPr>
            <w:tcW w:w="700" w:type="dxa"/>
            <w:vAlign w:val="center"/>
          </w:tcPr>
          <w:p w14:paraId="0000003D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700" w:type="dxa"/>
            <w:vAlign w:val="center"/>
          </w:tcPr>
          <w:p w14:paraId="0000003E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00003F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0000040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00000041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</w:t>
            </w:r>
          </w:p>
        </w:tc>
      </w:tr>
      <w:tr w:rsidR="0034784B" w14:paraId="13F03F6E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00000042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Total</w:t>
            </w:r>
          </w:p>
        </w:tc>
        <w:tc>
          <w:tcPr>
            <w:tcW w:w="700" w:type="dxa"/>
            <w:vAlign w:val="center"/>
          </w:tcPr>
          <w:p w14:paraId="00000043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vAlign w:val="center"/>
          </w:tcPr>
          <w:p w14:paraId="00000044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14:paraId="00000045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33</w:t>
            </w:r>
          </w:p>
        </w:tc>
        <w:tc>
          <w:tcPr>
            <w:tcW w:w="1200" w:type="dxa"/>
            <w:vAlign w:val="center"/>
          </w:tcPr>
          <w:p w14:paraId="00000046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88</w:t>
            </w:r>
          </w:p>
        </w:tc>
        <w:tc>
          <w:tcPr>
            <w:tcW w:w="780" w:type="dxa"/>
            <w:vAlign w:val="center"/>
          </w:tcPr>
          <w:p w14:paraId="00000047" w14:textId="77777777" w:rsidR="0034784B" w:rsidRDefault="0034784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</w:tbl>
    <w:p w14:paraId="00000048" w14:textId="77777777" w:rsidR="0034784B" w:rsidRDefault="0034784B">
      <w:pPr>
        <w:spacing w:line="259" w:lineRule="auto"/>
        <w:jc w:val="center"/>
        <w:rPr>
          <w:rFonts w:ascii="Quicksand" w:eastAsia="Quicksand" w:hAnsi="Quicksand" w:cs="Quicksand"/>
          <w:color w:val="7F7F7F"/>
          <w:sz w:val="20"/>
          <w:szCs w:val="20"/>
        </w:rPr>
      </w:pPr>
    </w:p>
    <w:p w14:paraId="00000049" w14:textId="77777777" w:rsidR="0034784B" w:rsidRDefault="00D3128E">
      <w:pPr>
        <w:spacing w:line="259" w:lineRule="auto"/>
        <w:jc w:val="center"/>
        <w:rPr>
          <w:rFonts w:ascii="Quicksand" w:eastAsia="Quicksand" w:hAnsi="Quicksand" w:cs="Quicksand"/>
          <w:color w:val="7F7F7F"/>
          <w:sz w:val="20"/>
          <w:szCs w:val="20"/>
        </w:rPr>
      </w:pPr>
      <w:r>
        <w:rPr>
          <w:rFonts w:ascii="Quicksand" w:eastAsia="Quicksand" w:hAnsi="Quicksand" w:cs="Quicksand"/>
          <w:color w:val="7F7F7F"/>
          <w:sz w:val="20"/>
          <w:szCs w:val="20"/>
        </w:rPr>
        <w:t>Gráfico 19</w:t>
      </w:r>
      <w:r>
        <w:rPr>
          <w:rFonts w:ascii="Quicksand" w:eastAsia="Quicksand" w:hAnsi="Quicksand" w:cs="Quicksand"/>
          <w:b/>
          <w:color w:val="7F7F7F"/>
          <w:sz w:val="20"/>
          <w:szCs w:val="20"/>
        </w:rPr>
        <w:t xml:space="preserve">: </w:t>
      </w:r>
      <w:r>
        <w:rPr>
          <w:rFonts w:ascii="Quicksand" w:eastAsia="Quicksand" w:hAnsi="Quicksand" w:cs="Quicksand"/>
          <w:color w:val="7F7F7F"/>
          <w:sz w:val="20"/>
          <w:szCs w:val="20"/>
        </w:rPr>
        <w:t>Diez principales causas de notificación. Semanas 8 – 38 de 2018.</w:t>
      </w:r>
    </w:p>
    <w:p w14:paraId="0000004A" w14:textId="77777777" w:rsidR="0034784B" w:rsidRDefault="00D3128E">
      <w:pPr>
        <w:spacing w:line="259" w:lineRule="auto"/>
        <w:ind w:left="-284"/>
        <w:jc w:val="center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noProof/>
        </w:rPr>
        <w:drawing>
          <wp:inline distT="0" distB="0" distL="0" distR="0">
            <wp:extent cx="5731200" cy="3225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B" w14:textId="77777777" w:rsidR="0034784B" w:rsidRDefault="00D3128E">
      <w:pPr>
        <w:spacing w:line="259" w:lineRule="auto"/>
        <w:jc w:val="center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color w:val="7F7F7F"/>
          <w:sz w:val="20"/>
          <w:szCs w:val="20"/>
        </w:rPr>
        <w:t>Tabla 16: Otros eventos notificados en las semanas epidemiológicas 8 – 38 de 2018.</w:t>
      </w:r>
    </w:p>
    <w:tbl>
      <w:tblPr>
        <w:tblStyle w:val="a0"/>
        <w:tblW w:w="4676" w:type="dxa"/>
        <w:jc w:val="center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698"/>
      </w:tblGrid>
      <w:tr w:rsidR="0034784B" w14:paraId="02BE1FEE" w14:textId="77777777" w:rsidTr="00347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bottom w:val="nil"/>
            </w:tcBorders>
          </w:tcPr>
          <w:p w14:paraId="0000004C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Evento</w:t>
            </w:r>
          </w:p>
        </w:tc>
        <w:tc>
          <w:tcPr>
            <w:tcW w:w="1698" w:type="dxa"/>
            <w:tcBorders>
              <w:bottom w:val="nil"/>
            </w:tcBorders>
          </w:tcPr>
          <w:p w14:paraId="0000004D" w14:textId="77777777" w:rsidR="0034784B" w:rsidRDefault="00D3128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Número casos</w:t>
            </w:r>
          </w:p>
        </w:tc>
      </w:tr>
      <w:tr w:rsidR="0034784B" w14:paraId="52DB8D14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4E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Recién Nacido</w:t>
            </w:r>
          </w:p>
        </w:tc>
        <w:tc>
          <w:tcPr>
            <w:tcW w:w="1698" w:type="dxa"/>
          </w:tcPr>
          <w:p w14:paraId="0000004F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5</w:t>
            </w:r>
          </w:p>
        </w:tc>
      </w:tr>
      <w:tr w:rsidR="0034784B" w14:paraId="4BC02B22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0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Agresión por perro</w:t>
            </w:r>
          </w:p>
        </w:tc>
        <w:tc>
          <w:tcPr>
            <w:tcW w:w="1698" w:type="dxa"/>
          </w:tcPr>
          <w:p w14:paraId="00000051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4</w:t>
            </w:r>
          </w:p>
        </w:tc>
      </w:tr>
      <w:tr w:rsidR="0034784B" w14:paraId="2643934A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2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Picadura insecto venenoso</w:t>
            </w:r>
          </w:p>
        </w:tc>
        <w:tc>
          <w:tcPr>
            <w:tcW w:w="1698" w:type="dxa"/>
          </w:tcPr>
          <w:p w14:paraId="00000053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4</w:t>
            </w:r>
          </w:p>
        </w:tc>
      </w:tr>
      <w:tr w:rsidR="0034784B" w14:paraId="097652DB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4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Sintomático respiratorio</w:t>
            </w:r>
          </w:p>
        </w:tc>
        <w:tc>
          <w:tcPr>
            <w:tcW w:w="1698" w:type="dxa"/>
          </w:tcPr>
          <w:p w14:paraId="00000055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3</w:t>
            </w:r>
          </w:p>
        </w:tc>
      </w:tr>
      <w:tr w:rsidR="0034784B" w14:paraId="1B554E4A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6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lastRenderedPageBreak/>
              <w:t>Sintomático Piel</w:t>
            </w:r>
          </w:p>
        </w:tc>
        <w:tc>
          <w:tcPr>
            <w:tcW w:w="1698" w:type="dxa"/>
          </w:tcPr>
          <w:p w14:paraId="00000057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3</w:t>
            </w:r>
          </w:p>
        </w:tc>
      </w:tr>
      <w:tr w:rsidR="0034784B" w14:paraId="32A91F3C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8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Accidente Ofídico</w:t>
            </w:r>
          </w:p>
        </w:tc>
        <w:tc>
          <w:tcPr>
            <w:tcW w:w="1698" w:type="dxa"/>
          </w:tcPr>
          <w:p w14:paraId="00000059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3</w:t>
            </w:r>
          </w:p>
        </w:tc>
      </w:tr>
      <w:tr w:rsidR="0034784B" w14:paraId="1D201D09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A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Fallecido</w:t>
            </w:r>
          </w:p>
        </w:tc>
        <w:tc>
          <w:tcPr>
            <w:tcW w:w="1698" w:type="dxa"/>
          </w:tcPr>
          <w:p w14:paraId="0000005B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3</w:t>
            </w:r>
          </w:p>
        </w:tc>
      </w:tr>
      <w:tr w:rsidR="0034784B" w14:paraId="7406ACBF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C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Suicidio</w:t>
            </w:r>
          </w:p>
        </w:tc>
        <w:tc>
          <w:tcPr>
            <w:tcW w:w="1698" w:type="dxa"/>
          </w:tcPr>
          <w:p w14:paraId="0000005D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2</w:t>
            </w:r>
          </w:p>
        </w:tc>
      </w:tr>
      <w:tr w:rsidR="0034784B" w14:paraId="3F1E0A5B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5E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Síndrome Gastrointestinal</w:t>
            </w:r>
          </w:p>
        </w:tc>
        <w:tc>
          <w:tcPr>
            <w:tcW w:w="1698" w:type="dxa"/>
          </w:tcPr>
          <w:p w14:paraId="0000005F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2</w:t>
            </w:r>
          </w:p>
        </w:tc>
      </w:tr>
      <w:tr w:rsidR="0034784B" w14:paraId="7E801F58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0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Varicela</w:t>
            </w:r>
          </w:p>
        </w:tc>
        <w:tc>
          <w:tcPr>
            <w:tcW w:w="1698" w:type="dxa"/>
          </w:tcPr>
          <w:p w14:paraId="00000061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1</w:t>
            </w:r>
          </w:p>
        </w:tc>
      </w:tr>
      <w:tr w:rsidR="0034784B" w14:paraId="143F6E74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2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Agresión por gato</w:t>
            </w:r>
          </w:p>
        </w:tc>
        <w:tc>
          <w:tcPr>
            <w:tcW w:w="1698" w:type="dxa"/>
          </w:tcPr>
          <w:p w14:paraId="00000063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1</w:t>
            </w:r>
          </w:p>
        </w:tc>
      </w:tr>
      <w:tr w:rsidR="0034784B" w14:paraId="607D18CD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4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Bajo peso al nacer</w:t>
            </w:r>
          </w:p>
        </w:tc>
        <w:tc>
          <w:tcPr>
            <w:tcW w:w="1698" w:type="dxa"/>
          </w:tcPr>
          <w:p w14:paraId="00000065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1</w:t>
            </w:r>
          </w:p>
        </w:tc>
      </w:tr>
      <w:tr w:rsidR="0034784B" w14:paraId="3A2D674F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6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 w:val="0"/>
                <w:sz w:val="18"/>
                <w:szCs w:val="18"/>
              </w:rPr>
              <w:t>Tracoma ocular</w:t>
            </w:r>
          </w:p>
        </w:tc>
        <w:tc>
          <w:tcPr>
            <w:tcW w:w="1698" w:type="dxa"/>
          </w:tcPr>
          <w:p w14:paraId="00000067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1</w:t>
            </w:r>
          </w:p>
        </w:tc>
      </w:tr>
      <w:tr w:rsidR="0034784B" w14:paraId="7AE11EAF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8" w14:textId="77777777" w:rsidR="0034784B" w:rsidRDefault="00D3128E">
            <w:pPr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Total</w:t>
            </w:r>
          </w:p>
        </w:tc>
        <w:tc>
          <w:tcPr>
            <w:tcW w:w="1698" w:type="dxa"/>
          </w:tcPr>
          <w:p w14:paraId="00000069" w14:textId="77777777" w:rsidR="0034784B" w:rsidRDefault="00D31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33</w:t>
            </w:r>
          </w:p>
        </w:tc>
      </w:tr>
      <w:tr w:rsidR="0034784B" w14:paraId="29630960" w14:textId="77777777" w:rsidTr="003478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00006A" w14:textId="77777777" w:rsidR="0034784B" w:rsidRDefault="00D3128E">
            <w:pPr>
              <w:spacing w:line="259" w:lineRule="auto"/>
              <w:jc w:val="both"/>
              <w:rPr>
                <w:rFonts w:ascii="Quicksand" w:eastAsia="Quicksand" w:hAnsi="Quicksand" w:cs="Quicksand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sz w:val="18"/>
                <w:szCs w:val="18"/>
              </w:rPr>
              <w:t>Total (más 10 primeras causas)</w:t>
            </w:r>
          </w:p>
        </w:tc>
        <w:tc>
          <w:tcPr>
            <w:tcW w:w="1698" w:type="dxa"/>
          </w:tcPr>
          <w:p w14:paraId="0000006B" w14:textId="77777777" w:rsidR="0034784B" w:rsidRDefault="00D3128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846</w:t>
            </w:r>
          </w:p>
        </w:tc>
      </w:tr>
    </w:tbl>
    <w:p w14:paraId="0000006C" w14:textId="77777777" w:rsidR="0034784B" w:rsidRDefault="0034784B">
      <w:pPr>
        <w:spacing w:line="259" w:lineRule="auto"/>
        <w:jc w:val="both"/>
        <w:rPr>
          <w:rFonts w:ascii="Quicksand" w:eastAsia="Quicksand" w:hAnsi="Quicksand" w:cs="Quicksand"/>
        </w:rPr>
      </w:pPr>
    </w:p>
    <w:p w14:paraId="0000006D" w14:textId="77777777" w:rsidR="0034784B" w:rsidRDefault="00D3128E">
      <w:pPr>
        <w:spacing w:line="259" w:lineRule="auto"/>
        <w:jc w:val="both"/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El número de recién nacidos que se reportaron por este sistema difiere de las cifras de partos que se presentará más adelante, dado que algunas mujeres a pesar de que tienen el parto en la comunidad acuden al hospital p</w:t>
      </w:r>
      <w:r>
        <w:rPr>
          <w:rFonts w:ascii="Quicksand" w:eastAsia="Quicksand" w:hAnsi="Quicksand" w:cs="Quicksand"/>
        </w:rPr>
        <w:t xml:space="preserve">osterior al nacimiento para efectos de vacunación y registro civil y es allí donde se realiza el proceso de notificación del evento. </w:t>
      </w:r>
    </w:p>
    <w:p w14:paraId="0000006E" w14:textId="77777777" w:rsidR="0034784B" w:rsidRDefault="0034784B">
      <w:pPr>
        <w:spacing w:line="259" w:lineRule="auto"/>
        <w:jc w:val="both"/>
        <w:rPr>
          <w:rFonts w:ascii="Quicksand" w:eastAsia="Quicksand" w:hAnsi="Quicksand" w:cs="Quicksand"/>
        </w:rPr>
      </w:pPr>
    </w:p>
    <w:p w14:paraId="0000006F" w14:textId="77777777" w:rsidR="0034784B" w:rsidRDefault="00D3128E">
      <w:pPr>
        <w:spacing w:line="259" w:lineRule="auto"/>
        <w:jc w:val="both"/>
      </w:pPr>
      <w:r>
        <w:rPr>
          <w:rFonts w:ascii="Quicksand" w:eastAsia="Quicksand" w:hAnsi="Quicksand" w:cs="Quicksand"/>
        </w:rPr>
        <w:t>El caso de bajo peso al nacer que se muestra en la tabla fue reportado por el auxiliar, pero una vez se verificaron los d</w:t>
      </w:r>
      <w:r>
        <w:rPr>
          <w:rFonts w:ascii="Quicksand" w:eastAsia="Quicksand" w:hAnsi="Quicksand" w:cs="Quicksand"/>
        </w:rPr>
        <w:t xml:space="preserve">atos antropométricos en el hospital se descartó esta condición. </w:t>
      </w:r>
    </w:p>
    <w:sectPr w:rsidR="003478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4B"/>
    <w:rsid w:val="0034784B"/>
    <w:rsid w:val="00D3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58D4"/>
  <w15:docId w15:val="{EF7A0B96-FBB9-42A2-9870-F0817303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line="240" w:lineRule="auto"/>
    </w:pPr>
    <w:rPr>
      <w:color w:val="C5591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</cp:lastModifiedBy>
  <cp:revision>3</cp:revision>
  <dcterms:created xsi:type="dcterms:W3CDTF">2021-08-05T20:41:00Z</dcterms:created>
  <dcterms:modified xsi:type="dcterms:W3CDTF">2021-08-05T20:45:00Z</dcterms:modified>
</cp:coreProperties>
</file>